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CBD1" w14:textId="77777777" w:rsidR="00DC5261" w:rsidRDefault="00DC5261">
      <w:pPr>
        <w:jc w:val="center"/>
        <w:rPr>
          <w:rFonts w:ascii="Bookman Old Style" w:eastAsia="Bookman Old Style" w:hAnsi="Bookman Old Style" w:cs="Bookman Old Style"/>
        </w:rPr>
      </w:pPr>
    </w:p>
    <w:p w14:paraId="63E5F075" w14:textId="717B6CBD" w:rsidR="00DC5261" w:rsidRDefault="00000000">
      <w:pPr>
        <w:jc w:val="center"/>
        <w:rPr>
          <w:rFonts w:ascii="Bookman Old Style" w:eastAsia="Bookman Old Style" w:hAnsi="Bookman Old Style" w:cs="Bookman Old Style"/>
          <w:sz w:val="16"/>
          <w:szCs w:val="16"/>
        </w:rPr>
      </w:pPr>
      <w:r>
        <w:rPr>
          <w:noProof/>
        </w:rPr>
        <mc:AlternateContent>
          <mc:Choice Requires="wps">
            <w:drawing>
              <wp:anchor distT="0" distB="0" distL="0" distR="0" simplePos="0" relativeHeight="251658240" behindDoc="1" locked="0" layoutInCell="1" hidden="0" allowOverlap="1" wp14:anchorId="16A73B95" wp14:editId="28A57DA6">
                <wp:simplePos x="0" y="0"/>
                <wp:positionH relativeFrom="column">
                  <wp:posOffset>0</wp:posOffset>
                </wp:positionH>
                <wp:positionV relativeFrom="paragraph">
                  <wp:posOffset>76200</wp:posOffset>
                </wp:positionV>
                <wp:extent cx="5942965" cy="1133475"/>
                <wp:effectExtent l="0" t="0" r="0" b="0"/>
                <wp:wrapNone/>
                <wp:docPr id="1523170002" name="Persegi Panjang 1523170002"/>
                <wp:cNvGraphicFramePr/>
                <a:graphic xmlns:a="http://schemas.openxmlformats.org/drawingml/2006/main">
                  <a:graphicData uri="http://schemas.microsoft.com/office/word/2010/wordprocessingShape">
                    <wps:wsp>
                      <wps:cNvSpPr/>
                      <wps:spPr>
                        <a:xfrm>
                          <a:off x="2379280" y="3218025"/>
                          <a:ext cx="5933440" cy="1123950"/>
                        </a:xfrm>
                        <a:prstGeom prst="rect">
                          <a:avLst/>
                        </a:prstGeom>
                        <a:solidFill>
                          <a:srgbClr val="F2F8EE"/>
                        </a:solidFill>
                        <a:ln>
                          <a:noFill/>
                        </a:ln>
                      </wps:spPr>
                      <wps:txbx>
                        <w:txbxContent>
                          <w:p w14:paraId="3313A904" w14:textId="77777777" w:rsidR="00DC5261" w:rsidRDefault="00DC5261">
                            <w:pPr>
                              <w:textDirection w:val="btLr"/>
                            </w:pPr>
                          </w:p>
                        </w:txbxContent>
                      </wps:txbx>
                      <wps:bodyPr spcFirstLastPara="1" wrap="square" lIns="91425" tIns="91425" rIns="91425" bIns="91425" anchor="ctr" anchorCtr="0">
                        <a:noAutofit/>
                      </wps:bodyPr>
                    </wps:wsp>
                  </a:graphicData>
                </a:graphic>
              </wp:anchor>
            </w:drawing>
          </mc:Choice>
          <mc:Fallback>
            <w:pict>
              <v:rect w14:anchorId="16A73B95" id="Persegi Panjang 1523170002" o:spid="_x0000_s1026" style="position:absolute;left:0;text-align:left;margin-left:0;margin-top:6pt;width:467.95pt;height:89.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" fillcolor="#f2f8ee" stroked="f">
                <v:textbox inset="2.53958mm,2.53958mm,2.53958mm,2.53958mm">
                  <w:txbxContent>
                    <w:p w14:paraId="3313A904" w14:textId="77777777" w:rsidR="00DC5261" w:rsidRDefault="00DC5261">
                      <w:pPr>
                        <w:textDirection w:val="btLr"/>
                      </w:pPr>
                    </w:p>
                  </w:txbxContent>
                </v:textbox>
              </v:rect>
            </w:pict>
          </mc:Fallback>
        </mc:AlternateContent>
      </w:r>
      <w:r>
        <w:rPr>
          <w:noProof/>
        </w:rPr>
        <mc:AlternateContent>
          <mc:Choice Requires="wps">
            <w:drawing>
              <wp:anchor distT="0" distB="0" distL="0" distR="0" simplePos="0" relativeHeight="251659264" behindDoc="1" locked="0" layoutInCell="1" hidden="0" allowOverlap="1" wp14:anchorId="6FD21DD2" wp14:editId="6ACEFD4B">
                <wp:simplePos x="0" y="0"/>
                <wp:positionH relativeFrom="column">
                  <wp:posOffset>0</wp:posOffset>
                </wp:positionH>
                <wp:positionV relativeFrom="paragraph">
                  <wp:posOffset>12700</wp:posOffset>
                </wp:positionV>
                <wp:extent cx="5942965" cy="1264166"/>
                <wp:effectExtent l="0" t="0" r="0" b="0"/>
                <wp:wrapNone/>
                <wp:docPr id="1523169995" name="Persegi Panjang 1523169995"/>
                <wp:cNvGraphicFramePr/>
                <a:graphic xmlns:a="http://schemas.openxmlformats.org/drawingml/2006/main">
                  <a:graphicData uri="http://schemas.microsoft.com/office/word/2010/wordprocessingShape">
                    <wps:wsp>
                      <wps:cNvSpPr/>
                      <wps:spPr>
                        <a:xfrm>
                          <a:off x="2379280" y="3152680"/>
                          <a:ext cx="5933440" cy="1254641"/>
                        </a:xfrm>
                        <a:prstGeom prst="rect">
                          <a:avLst/>
                        </a:prstGeom>
                        <a:gradFill>
                          <a:gsLst>
                            <a:gs pos="0">
                              <a:srgbClr val="B4D4A5"/>
                            </a:gs>
                            <a:gs pos="50000">
                              <a:srgbClr val="A8CD97"/>
                            </a:gs>
                            <a:gs pos="100000">
                              <a:srgbClr val="9BC985"/>
                            </a:gs>
                          </a:gsLst>
                          <a:lin ang="5400000" scaled="0"/>
                        </a:gradFill>
                        <a:ln w="9525" cap="flat" cmpd="sng">
                          <a:solidFill>
                            <a:schemeClr val="accent6"/>
                          </a:solidFill>
                          <a:prstDash val="solid"/>
                          <a:miter lim="800000"/>
                          <a:headEnd type="none" w="sm" len="sm"/>
                          <a:tailEnd type="none" w="sm" len="sm"/>
                        </a:ln>
                      </wps:spPr>
                      <wps:txbx>
                        <w:txbxContent>
                          <w:p w14:paraId="22083504" w14:textId="77777777" w:rsidR="00DC5261" w:rsidRDefault="00DC5261">
                            <w:pPr>
                              <w:textDirection w:val="btLr"/>
                            </w:pPr>
                          </w:p>
                        </w:txbxContent>
                      </wps:txbx>
                      <wps:bodyPr spcFirstLastPara="1" wrap="square" lIns="91425" tIns="91425" rIns="91425" bIns="91425" anchor="ctr" anchorCtr="0">
                        <a:noAutofit/>
                      </wps:bodyPr>
                    </wps:wsp>
                  </a:graphicData>
                </a:graphic>
              </wp:anchor>
            </w:drawing>
          </mc:Choice>
          <mc:Fallback>
            <w:pict>
              <v:rect w14:anchorId="6FD21DD2" id="Persegi Panjang 1523169995" o:spid="_x0000_s1027" style="position:absolute;left:0;text-align:left;margin-left:0;margin-top:1pt;width:467.95pt;height:99.5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" fillcolor="#b4d4a5" strokecolor="#70ad47 [3209]">
                <v:fill color2="#9bc985" colors="0 #b4d4a5;.5 #a8cd97;1 #9bc985" focus="100%" type="gradient">
                  <o:fill v:ext="view" type="gradientUnscaled"/>
                </v:fill>
                <v:stroke startarrowwidth="narrow" startarrowlength="short" endarrowwidth="narrow" endarrowlength="short"/>
                <v:textbox inset="2.53958mm,2.53958mm,2.53958mm,2.53958mm">
                  <w:txbxContent>
                    <w:p w14:paraId="22083504" w14:textId="77777777" w:rsidR="00DC5261" w:rsidRDefault="00DC5261">
                      <w:pPr>
                        <w:textDirection w:val="btLr"/>
                      </w:pPr>
                    </w:p>
                  </w:txbxContent>
                </v:textbox>
              </v:rect>
            </w:pict>
          </mc:Fallback>
        </mc:AlternateContent>
      </w:r>
      <w:r>
        <w:rPr>
          <w:noProof/>
        </w:rPr>
        <w:drawing>
          <wp:anchor distT="0" distB="0" distL="0" distR="0" simplePos="0" relativeHeight="251660288" behindDoc="1" locked="0" layoutInCell="1" hidden="0" allowOverlap="1" wp14:anchorId="21D817C4" wp14:editId="7A1474DE">
            <wp:simplePos x="0" y="0"/>
            <wp:positionH relativeFrom="column">
              <wp:posOffset>4445</wp:posOffset>
            </wp:positionH>
            <wp:positionV relativeFrom="paragraph">
              <wp:posOffset>24765</wp:posOffset>
            </wp:positionV>
            <wp:extent cx="1371600" cy="1371600"/>
            <wp:effectExtent l="0" t="0" r="0" b="0"/>
            <wp:wrapNone/>
            <wp:docPr id="15231700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71600" cy="1371600"/>
                    </a:xfrm>
                    <a:prstGeom prst="rect">
                      <a:avLst/>
                    </a:prstGeom>
                    <a:ln/>
                  </pic:spPr>
                </pic:pic>
              </a:graphicData>
            </a:graphic>
          </wp:anchor>
        </w:drawing>
      </w:r>
      <w:r>
        <w:rPr>
          <w:noProof/>
        </w:rPr>
        <mc:AlternateContent>
          <mc:Choice Requires="wps">
            <w:drawing>
              <wp:anchor distT="4294967294" distB="4294967294" distL="114300" distR="114300" simplePos="0" relativeHeight="251662336" behindDoc="0" locked="0" layoutInCell="1" hidden="0" allowOverlap="1" wp14:anchorId="79512347" wp14:editId="270784C0">
                <wp:simplePos x="0" y="0"/>
                <wp:positionH relativeFrom="column">
                  <wp:posOffset>12701</wp:posOffset>
                </wp:positionH>
                <wp:positionV relativeFrom="paragraph">
                  <wp:posOffset>5095</wp:posOffset>
                </wp:positionV>
                <wp:extent cx="0" cy="25400"/>
                <wp:effectExtent l="0" t="0" r="0" b="0"/>
                <wp:wrapNone/>
                <wp:docPr id="1523170001" name="Konektor Panah Lurus 1523170001"/>
                <wp:cNvGraphicFramePr/>
                <a:graphic xmlns:a="http://schemas.openxmlformats.org/drawingml/2006/main">
                  <a:graphicData uri="http://schemas.microsoft.com/office/word/2010/wordprocessingShape">
                    <wps:wsp>
                      <wps:cNvCnPr/>
                      <wps:spPr>
                        <a:xfrm>
                          <a:off x="2379280" y="3780000"/>
                          <a:ext cx="5933440" cy="0"/>
                        </a:xfrm>
                        <a:prstGeom prst="straightConnector1">
                          <a:avLst/>
                        </a:prstGeom>
                        <a:noFill/>
                        <a:ln w="25400" cap="flat" cmpd="sng">
                          <a:solidFill>
                            <a:schemeClr val="dk1"/>
                          </a:solidFill>
                          <a:prstDash val="solid"/>
                          <a:miter lim="800000"/>
                          <a:headEnd type="none" w="sm" len="sm"/>
                          <a:tailEnd type="none" w="sm" len="sm"/>
                        </a:ln>
                      </wps:spPr>
                      <wps:bodyPr/>
                    </wps:wsp>
                  </a:graphicData>
                </a:graphic>
              </wp:anchor>
            </w:drawing>
          </mc:Choice>
          <mc:Fallback>
            <w:pict>
              <v:shapetype w14:anchorId="3DEA46F8" id="_x0000_t32" coordsize="21600,21600" o:spt="32" o:oned="t" path="m,l21600,21600e" filled="f">
                <v:path arrowok="t" fillok="f" o:connecttype="none"/>
                <o:lock v:ext="edit" shapetype="t"/>
              </v:shapetype>
              <v:shape id="Konektor Panah Lurus 1523170001" o:spid="_x0000_s1026" type="#_x0000_t32" style="position:absolute;margin-left:1pt;margin-top:.4pt;width:0;height:2pt;z-index:251662336;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" strokecolor="black [3200]" strokeweight="2pt">
                <v:stroke startarrowwidth="narrow" startarrowlength="short" endarrowwidth="narrow" endarrowlength="short" joinstyle="miter"/>
              </v:shape>
            </w:pict>
          </mc:Fallback>
        </mc:AlternateContent>
      </w:r>
    </w:p>
    <w:p w14:paraId="0746A90D" w14:textId="77777777" w:rsidR="00DC5261" w:rsidRDefault="00000000">
      <w:pPr>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sz w:val="20"/>
          <w:szCs w:val="20"/>
        </w:rPr>
        <w:t>JURNAL KHULUQ Vol. 1 No. 1. 2025</w:t>
      </w:r>
    </w:p>
    <w:p w14:paraId="3CD00475" w14:textId="77777777" w:rsidR="00DC5261" w:rsidRDefault="00000000">
      <w:pPr>
        <w:ind w:left="3600" w:firstLine="720"/>
        <w:rPr>
          <w:rFonts w:ascii="Bookman Old Style" w:eastAsia="Bookman Old Style" w:hAnsi="Bookman Old Style" w:cs="Bookman Old Style"/>
          <w:b/>
          <w:sz w:val="56"/>
          <w:szCs w:val="56"/>
        </w:rPr>
      </w:pPr>
      <w:r>
        <w:rPr>
          <w:rFonts w:ascii="Bookman Old Style" w:eastAsia="Bookman Old Style" w:hAnsi="Bookman Old Style" w:cs="Bookman Old Style"/>
          <w:b/>
          <w:sz w:val="52"/>
          <w:szCs w:val="52"/>
        </w:rPr>
        <w:t>KHULUQ</w:t>
      </w:r>
    </w:p>
    <w:p w14:paraId="1347C0D7" w14:textId="77777777" w:rsidR="00DC5261" w:rsidRDefault="00000000">
      <w:pPr>
        <w:spacing w:after="60"/>
        <w:ind w:left="720" w:firstLine="720"/>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28"/>
          <w:szCs w:val="28"/>
        </w:rPr>
        <w:t>(Jurnal Pendidikan Islam)</w:t>
      </w:r>
    </w:p>
    <w:p w14:paraId="42BDC4C2" w14:textId="77777777" w:rsidR="00DC5261" w:rsidRDefault="00000000">
      <w:pPr>
        <w:ind w:left="720" w:firstLine="72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Email: </w:t>
      </w:r>
      <w:hyperlink r:id="rId8">
        <w:r w:rsidR="00DC5261">
          <w:rPr>
            <w:rFonts w:ascii="Bookman Old Style" w:eastAsia="Bookman Old Style" w:hAnsi="Bookman Old Style" w:cs="Bookman Old Style"/>
            <w:color w:val="1155CC"/>
            <w:sz w:val="20"/>
            <w:szCs w:val="20"/>
            <w:u w:val="single"/>
          </w:rPr>
          <w:t>journalkhuluq@gmail.com</w:t>
        </w:r>
      </w:hyperlink>
      <w:r>
        <w:rPr>
          <w:rFonts w:ascii="Bookman Old Style" w:eastAsia="Bookman Old Style" w:hAnsi="Bookman Old Style" w:cs="Bookman Old Style"/>
          <w:sz w:val="20"/>
          <w:szCs w:val="20"/>
        </w:rPr>
        <w:t xml:space="preserve"> </w:t>
      </w:r>
    </w:p>
    <w:p w14:paraId="0532195A" w14:textId="77777777" w:rsidR="00DC5261" w:rsidRDefault="00DC5261">
      <w:pPr>
        <w:ind w:left="720" w:firstLine="720"/>
        <w:jc w:val="center"/>
        <w:rPr>
          <w:rFonts w:ascii="Bookman Old Style" w:eastAsia="Bookman Old Style" w:hAnsi="Bookman Old Style" w:cs="Bookman Old Style"/>
        </w:rPr>
      </w:pPr>
      <w:hyperlink r:id="rId9">
        <w:r>
          <w:rPr>
            <w:rFonts w:ascii="Bookman Old Style" w:eastAsia="Bookman Old Style" w:hAnsi="Bookman Old Style" w:cs="Bookman Old Style"/>
            <w:color w:val="0563C1"/>
            <w:sz w:val="20"/>
            <w:szCs w:val="20"/>
            <w:u w:val="single"/>
          </w:rPr>
          <w:t>https://jurnal.nurulyaqinannaba.or.id/index.php/khuluq</w:t>
        </w:r>
      </w:hyperlink>
      <w:r w:rsidR="00000000">
        <w:rPr>
          <w:rFonts w:ascii="Bookman Old Style" w:eastAsia="Bookman Old Style" w:hAnsi="Bookman Old Style" w:cs="Bookman Old Style"/>
          <w:sz w:val="20"/>
          <w:szCs w:val="20"/>
        </w:rPr>
        <w:t xml:space="preserve"> </w:t>
      </w:r>
    </w:p>
    <w:p w14:paraId="6E03411F" w14:textId="77777777" w:rsidR="00DC5261" w:rsidRDefault="00000000">
      <w:pPr>
        <w:rPr>
          <w:rFonts w:ascii="Bookman Old Style" w:eastAsia="Bookman Old Style" w:hAnsi="Bookman Old Style" w:cs="Bookman Old Style"/>
        </w:rPr>
      </w:pPr>
      <w:r>
        <w:rPr>
          <w:noProof/>
        </w:rPr>
        <mc:AlternateContent>
          <mc:Choice Requires="wps">
            <w:drawing>
              <wp:anchor distT="4294967294" distB="4294967294" distL="114300" distR="114300" simplePos="0" relativeHeight="251663360" behindDoc="0" locked="0" layoutInCell="1" hidden="0" allowOverlap="1" wp14:anchorId="384D688E" wp14:editId="0CB0EBC0">
                <wp:simplePos x="0" y="0"/>
                <wp:positionH relativeFrom="column">
                  <wp:posOffset>12701</wp:posOffset>
                </wp:positionH>
                <wp:positionV relativeFrom="paragraph">
                  <wp:posOffset>81295</wp:posOffset>
                </wp:positionV>
                <wp:extent cx="0" cy="25400"/>
                <wp:effectExtent l="0" t="0" r="0" b="0"/>
                <wp:wrapNone/>
                <wp:docPr id="1523169996" name="Konektor Panah Lurus 1523169996"/>
                <wp:cNvGraphicFramePr/>
                <a:graphic xmlns:a="http://schemas.openxmlformats.org/drawingml/2006/main">
                  <a:graphicData uri="http://schemas.microsoft.com/office/word/2010/wordprocessingShape">
                    <wps:wsp>
                      <wps:cNvCnPr/>
                      <wps:spPr>
                        <a:xfrm>
                          <a:off x="2379280" y="3780000"/>
                          <a:ext cx="5933440" cy="0"/>
                        </a:xfrm>
                        <a:prstGeom prst="straightConnector1">
                          <a:avLst/>
                        </a:prstGeom>
                        <a:noFill/>
                        <a:ln w="254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12701</wp:posOffset>
                </wp:positionH>
                <wp:positionV relativeFrom="paragraph">
                  <wp:posOffset>81295</wp:posOffset>
                </wp:positionV>
                <wp:extent cx="0" cy="25400"/>
                <wp:effectExtent b="0" l="0" r="0" t="0"/>
                <wp:wrapNone/>
                <wp:docPr id="152316999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14:paraId="0DE641A5" w14:textId="77777777" w:rsidR="00DC5261" w:rsidRDefault="00DC5261">
      <w:pPr>
        <w:jc w:val="center"/>
        <w:rPr>
          <w:rFonts w:ascii="Bookman Old Style" w:eastAsia="Bookman Old Style" w:hAnsi="Bookman Old Style" w:cs="Bookman Old Style"/>
          <w:b/>
          <w:sz w:val="20"/>
          <w:szCs w:val="20"/>
        </w:rPr>
      </w:pPr>
    </w:p>
    <w:p w14:paraId="55710253" w14:textId="77777777" w:rsidR="00DC5261" w:rsidRDefault="00DC5261">
      <w:pPr>
        <w:jc w:val="center"/>
        <w:rPr>
          <w:rFonts w:ascii="Bookman Old Style" w:eastAsia="Bookman Old Style" w:hAnsi="Bookman Old Style" w:cs="Bookman Old Style"/>
          <w:b/>
          <w:sz w:val="28"/>
          <w:szCs w:val="28"/>
        </w:rPr>
      </w:pPr>
    </w:p>
    <w:p w14:paraId="6B730A82" w14:textId="77777777" w:rsidR="00EF0E4B" w:rsidRPr="00EF0E4B" w:rsidRDefault="00EF0E4B" w:rsidP="00EF0E4B">
      <w:pPr>
        <w:jc w:val="center"/>
        <w:rPr>
          <w:rFonts w:ascii="Bookman Old Style" w:eastAsia="Bookman Old Style" w:hAnsi="Bookman Old Style" w:cs="Bookman Old Style"/>
          <w:b/>
          <w:sz w:val="28"/>
          <w:szCs w:val="28"/>
          <w:lang w:val="en-US"/>
        </w:rPr>
      </w:pPr>
      <w:r w:rsidRPr="00EF0E4B">
        <w:rPr>
          <w:rFonts w:ascii="Bookman Old Style" w:eastAsia="Bookman Old Style" w:hAnsi="Bookman Old Style" w:cs="Bookman Old Style"/>
          <w:b/>
          <w:sz w:val="28"/>
          <w:szCs w:val="28"/>
        </w:rPr>
        <w:t xml:space="preserve">PERSEPSI MAHASISWA TERHADAP PRAKTIK MUSYAWARAH DALAM MENYELESAIKAN KONFLIK DI LINGKUNGAN </w:t>
      </w:r>
      <w:r>
        <w:rPr>
          <w:rFonts w:ascii="Bookman Old Style" w:eastAsia="Bookman Old Style" w:hAnsi="Bookman Old Style" w:cs="Bookman Old Style"/>
          <w:b/>
          <w:sz w:val="28"/>
          <w:szCs w:val="28"/>
          <w:lang w:val="en-US"/>
        </w:rPr>
        <w:t>PERGURUAN TINGGI</w:t>
      </w:r>
    </w:p>
    <w:p w14:paraId="37670DB2" w14:textId="77777777" w:rsidR="00EF0E4B" w:rsidRDefault="00EF0E4B">
      <w:pPr>
        <w:tabs>
          <w:tab w:val="left" w:pos="911"/>
          <w:tab w:val="left" w:pos="1075"/>
        </w:tabs>
        <w:ind w:left="1075" w:hanging="1075"/>
        <w:jc w:val="center"/>
        <w:rPr>
          <w:rFonts w:ascii="Bookman Old Style" w:eastAsia="Bookman Old Style" w:hAnsi="Bookman Old Style" w:cs="Bookman Old Style"/>
          <w:b/>
        </w:rPr>
      </w:pPr>
    </w:p>
    <w:p w14:paraId="078531DF" w14:textId="77777777" w:rsidR="00EF0E4B" w:rsidRPr="00EF0E4B" w:rsidRDefault="00EF0E4B" w:rsidP="00EF0E4B">
      <w:pPr>
        <w:jc w:val="center"/>
        <w:rPr>
          <w:rFonts w:ascii="Bookman Old Style" w:hAnsi="Bookman Old Style"/>
          <w:b/>
          <w:bCs/>
          <w:color w:val="000000"/>
          <w:lang w:val="en-US"/>
        </w:rPr>
      </w:pPr>
      <w:r w:rsidRPr="00EF0E4B">
        <w:rPr>
          <w:rFonts w:ascii="Bookman Old Style" w:hAnsi="Bookman Old Style"/>
          <w:b/>
          <w:bCs/>
          <w:color w:val="000000"/>
        </w:rPr>
        <w:t>Vina Valisma</w:t>
      </w:r>
      <w:r w:rsidRPr="00EF0E4B">
        <w:rPr>
          <w:rFonts w:ascii="Bookman Old Style" w:hAnsi="Bookman Old Style"/>
          <w:b/>
          <w:bCs/>
          <w:color w:val="000000"/>
          <w:sz w:val="14"/>
          <w:szCs w:val="14"/>
          <w:vertAlign w:val="superscript"/>
        </w:rPr>
        <w:t>1</w:t>
      </w:r>
      <w:r w:rsidRPr="00EF0E4B">
        <w:rPr>
          <w:rFonts w:ascii="Bookman Old Style" w:hAnsi="Bookman Old Style"/>
          <w:b/>
          <w:bCs/>
          <w:color w:val="000000"/>
        </w:rPr>
        <w:t>, Keisya Zhahira</w:t>
      </w:r>
      <w:r w:rsidRPr="00EF0E4B">
        <w:rPr>
          <w:rFonts w:ascii="Bookman Old Style" w:hAnsi="Bookman Old Style"/>
          <w:b/>
          <w:bCs/>
          <w:color w:val="000000"/>
          <w:sz w:val="14"/>
          <w:szCs w:val="14"/>
          <w:vertAlign w:val="superscript"/>
        </w:rPr>
        <w:t>2</w:t>
      </w:r>
      <w:r w:rsidRPr="00EF0E4B">
        <w:rPr>
          <w:rFonts w:ascii="Bookman Old Style" w:hAnsi="Bookman Old Style"/>
          <w:b/>
          <w:bCs/>
          <w:color w:val="000000"/>
        </w:rPr>
        <w:t xml:space="preserve"> Kholid Muhammad Farhan</w:t>
      </w:r>
      <w:r w:rsidRPr="00EF0E4B">
        <w:rPr>
          <w:rFonts w:ascii="Bookman Old Style" w:hAnsi="Bookman Old Style"/>
          <w:b/>
          <w:bCs/>
          <w:color w:val="000000"/>
          <w:sz w:val="14"/>
          <w:szCs w:val="14"/>
          <w:vertAlign w:val="superscript"/>
        </w:rPr>
        <w:t>3</w:t>
      </w:r>
      <w:r w:rsidRPr="00EF0E4B">
        <w:rPr>
          <w:rFonts w:ascii="Bookman Old Style" w:hAnsi="Bookman Old Style"/>
          <w:b/>
          <w:bCs/>
          <w:color w:val="000000"/>
        </w:rPr>
        <w:t>, Salsabila Suraya Paris</w:t>
      </w:r>
      <w:r w:rsidRPr="00EF0E4B">
        <w:rPr>
          <w:rFonts w:ascii="Bookman Old Style" w:hAnsi="Bookman Old Style"/>
          <w:b/>
          <w:bCs/>
          <w:color w:val="000000"/>
          <w:sz w:val="14"/>
          <w:szCs w:val="14"/>
          <w:vertAlign w:val="superscript"/>
        </w:rPr>
        <w:t>4</w:t>
      </w:r>
      <w:r>
        <w:rPr>
          <w:rFonts w:ascii="Bookman Old Style" w:hAnsi="Bookman Old Style"/>
          <w:b/>
          <w:bCs/>
          <w:color w:val="000000"/>
          <w:sz w:val="14"/>
          <w:szCs w:val="14"/>
          <w:vertAlign w:val="superscript"/>
          <w:lang w:val="en-US"/>
        </w:rPr>
        <w:t xml:space="preserve">, </w:t>
      </w:r>
      <w:r w:rsidRPr="00EF0E4B">
        <w:rPr>
          <w:rFonts w:ascii="Bookman Old Style" w:hAnsi="Bookman Old Style"/>
          <w:b/>
          <w:bCs/>
          <w:color w:val="000000"/>
        </w:rPr>
        <w:t>Heri Surikno</w:t>
      </w:r>
      <w:r>
        <w:rPr>
          <w:rFonts w:ascii="Bookman Old Style" w:hAnsi="Bookman Old Style"/>
          <w:b/>
          <w:bCs/>
          <w:color w:val="000000"/>
          <w:sz w:val="14"/>
          <w:szCs w:val="14"/>
          <w:vertAlign w:val="superscript"/>
          <w:lang w:val="en-US"/>
        </w:rPr>
        <w:t>5</w:t>
      </w:r>
    </w:p>
    <w:p w14:paraId="1BD6E113" w14:textId="77777777" w:rsidR="00DC5261" w:rsidRDefault="00DC5261">
      <w:pPr>
        <w:jc w:val="center"/>
        <w:rPr>
          <w:rFonts w:ascii="Bookman Old Style" w:eastAsia="Bookman Old Style" w:hAnsi="Bookman Old Style" w:cs="Bookman Old Style"/>
          <w:b/>
        </w:rPr>
      </w:pPr>
    </w:p>
    <w:p w14:paraId="1D855E10" w14:textId="77777777" w:rsidR="00DC5261" w:rsidRDefault="00000000" w:rsidP="00EF0E4B">
      <w:pPr>
        <w:jc w:val="center"/>
        <w:rPr>
          <w:rFonts w:ascii="Bookman Old Style" w:eastAsia="Bookman Old Style" w:hAnsi="Bookman Old Style" w:cs="Bookman Old Style"/>
        </w:rPr>
      </w:pPr>
      <w:r>
        <w:rPr>
          <w:rFonts w:ascii="Bookman Old Style" w:eastAsia="Bookman Old Style" w:hAnsi="Bookman Old Style" w:cs="Bookman Old Style"/>
          <w:vertAlign w:val="superscript"/>
        </w:rPr>
        <w:t>1</w:t>
      </w:r>
      <w:r w:rsidR="00EF0E4B">
        <w:rPr>
          <w:rFonts w:ascii="Bookman Old Style" w:eastAsia="Bookman Old Style" w:hAnsi="Bookman Old Style" w:cs="Bookman Old Style"/>
          <w:vertAlign w:val="superscript"/>
          <w:lang w:val="en-US"/>
        </w:rPr>
        <w:t>,2,3,4,5</w:t>
      </w:r>
      <w:r>
        <w:rPr>
          <w:rFonts w:ascii="Bookman Old Style" w:eastAsia="Bookman Old Style" w:hAnsi="Bookman Old Style" w:cs="Bookman Old Style"/>
          <w:vertAlign w:val="superscript"/>
        </w:rPr>
        <w:t xml:space="preserve"> </w:t>
      </w:r>
      <w:r>
        <w:rPr>
          <w:rFonts w:ascii="Bookman Old Style" w:eastAsia="Bookman Old Style" w:hAnsi="Bookman Old Style" w:cs="Bookman Old Style"/>
        </w:rPr>
        <w:t xml:space="preserve">Universitas </w:t>
      </w:r>
      <w:r w:rsidR="00EF0E4B">
        <w:rPr>
          <w:rFonts w:ascii="Bookman Old Style" w:eastAsia="Bookman Old Style" w:hAnsi="Bookman Old Style" w:cs="Bookman Old Style"/>
          <w:lang w:val="en-US"/>
        </w:rPr>
        <w:t>Andalas, Padang</w:t>
      </w:r>
    </w:p>
    <w:p w14:paraId="20763C38" w14:textId="77777777" w:rsidR="00EF0E4B" w:rsidRPr="00EF0E4B" w:rsidRDefault="00EF0E4B" w:rsidP="00EF0E4B">
      <w:pPr>
        <w:jc w:val="center"/>
        <w:rPr>
          <w:color w:val="000000"/>
        </w:rPr>
      </w:pPr>
      <w:r w:rsidRPr="00EF0E4B">
        <w:rPr>
          <w:rFonts w:ascii="Bookman Old Style" w:hAnsi="Bookman Old Style"/>
          <w:color w:val="000000"/>
        </w:rPr>
        <w:t xml:space="preserve">Email: </w:t>
      </w:r>
      <w:r w:rsidRPr="00EF0E4B">
        <w:rPr>
          <w:rFonts w:ascii="Bookman Old Style" w:hAnsi="Bookman Old Style"/>
          <w:color w:val="000000"/>
          <w:sz w:val="14"/>
          <w:szCs w:val="14"/>
          <w:vertAlign w:val="superscript"/>
        </w:rPr>
        <w:t>1</w:t>
      </w:r>
      <w:r w:rsidRPr="00EF0E4B">
        <w:rPr>
          <w:rFonts w:ascii="Bookman Old Style" w:hAnsi="Bookman Old Style"/>
          <w:color w:val="000000"/>
        </w:rPr>
        <w:t xml:space="preserve"> </w:t>
      </w:r>
      <w:r w:rsidRPr="00EF0E4B">
        <w:rPr>
          <w:rFonts w:ascii="Bookman Old Style" w:hAnsi="Bookman Old Style"/>
          <w:color w:val="0563C1"/>
          <w:u w:val="single"/>
        </w:rPr>
        <w:t>vvalisma@gmail.com</w:t>
      </w:r>
      <w:r w:rsidRPr="00EF0E4B">
        <w:rPr>
          <w:rFonts w:ascii="Bookman Old Style" w:hAnsi="Bookman Old Style"/>
          <w:color w:val="000000"/>
          <w:shd w:val="clear" w:color="auto" w:fill="FFFFFF"/>
        </w:rPr>
        <w:t xml:space="preserve">, </w:t>
      </w:r>
      <w:r w:rsidRPr="00EF0E4B">
        <w:rPr>
          <w:rFonts w:ascii="Bookman Old Style" w:hAnsi="Bookman Old Style"/>
          <w:color w:val="000000"/>
          <w:sz w:val="14"/>
          <w:szCs w:val="14"/>
          <w:shd w:val="clear" w:color="auto" w:fill="FFFFFF"/>
          <w:vertAlign w:val="superscript"/>
        </w:rPr>
        <w:t>2</w:t>
      </w:r>
      <w:r w:rsidRPr="00EF0E4B">
        <w:rPr>
          <w:rFonts w:ascii="Bookman Old Style" w:hAnsi="Bookman Old Style"/>
          <w:color w:val="000000"/>
          <w:shd w:val="clear" w:color="auto" w:fill="FFFFFF"/>
        </w:rPr>
        <w:t xml:space="preserve"> </w:t>
      </w:r>
      <w:hyperlink r:id="rId11" w:history="1">
        <w:r w:rsidRPr="00EF0E4B">
          <w:rPr>
            <w:rFonts w:ascii="Bookman Old Style" w:hAnsi="Bookman Old Style"/>
            <w:color w:val="0563C1"/>
            <w:u w:val="single"/>
          </w:rPr>
          <w:t>keisyazhahira13@gmail.com</w:t>
        </w:r>
      </w:hyperlink>
      <w:r w:rsidRPr="00EF0E4B">
        <w:rPr>
          <w:rFonts w:ascii="Bookman Old Style" w:hAnsi="Bookman Old Style"/>
          <w:color w:val="000000"/>
        </w:rPr>
        <w:t>,</w:t>
      </w:r>
    </w:p>
    <w:p w14:paraId="72F0F0DB" w14:textId="77777777" w:rsidR="00DC5261" w:rsidRPr="00D20DE1" w:rsidRDefault="00EF0E4B" w:rsidP="00EF0E4B">
      <w:pPr>
        <w:jc w:val="center"/>
        <w:rPr>
          <w:rFonts w:ascii="Bookman Old Style" w:eastAsia="Bookman Old Style" w:hAnsi="Bookman Old Style" w:cs="Bookman Old Style"/>
        </w:rPr>
      </w:pPr>
      <w:r w:rsidRPr="00EF0E4B">
        <w:rPr>
          <w:rFonts w:ascii="Bookman Old Style" w:hAnsi="Bookman Old Style"/>
          <w:color w:val="000000"/>
        </w:rPr>
        <w:t> </w:t>
      </w:r>
      <w:r w:rsidRPr="00EF0E4B">
        <w:rPr>
          <w:rFonts w:ascii="Bookman Old Style" w:hAnsi="Bookman Old Style"/>
          <w:color w:val="000000"/>
          <w:sz w:val="14"/>
          <w:szCs w:val="14"/>
          <w:vertAlign w:val="superscript"/>
        </w:rPr>
        <w:t>3</w:t>
      </w:r>
      <w:r w:rsidRPr="00EF0E4B">
        <w:rPr>
          <w:rFonts w:ascii="Bookman Old Style" w:hAnsi="Bookman Old Style"/>
          <w:color w:val="000000"/>
        </w:rPr>
        <w:t xml:space="preserve"> </w:t>
      </w:r>
      <w:r w:rsidRPr="00EF0E4B">
        <w:rPr>
          <w:rFonts w:ascii="Bookman Old Style" w:hAnsi="Bookman Old Style"/>
          <w:color w:val="0563C1"/>
          <w:u w:val="single"/>
        </w:rPr>
        <w:t>mhmmdfarhan776@gmail.com</w:t>
      </w:r>
      <w:r w:rsidRPr="00EF0E4B">
        <w:rPr>
          <w:rFonts w:ascii="Bookman Old Style" w:hAnsi="Bookman Old Style"/>
          <w:color w:val="000000"/>
          <w:shd w:val="clear" w:color="auto" w:fill="FFFFFF"/>
        </w:rPr>
        <w:t xml:space="preserve">, </w:t>
      </w:r>
      <w:r w:rsidRPr="00EF0E4B">
        <w:rPr>
          <w:rFonts w:ascii="Bookman Old Style" w:hAnsi="Bookman Old Style"/>
          <w:color w:val="000000"/>
          <w:sz w:val="14"/>
          <w:szCs w:val="14"/>
          <w:shd w:val="clear" w:color="auto" w:fill="FFFFFF"/>
          <w:vertAlign w:val="superscript"/>
        </w:rPr>
        <w:t>4</w:t>
      </w:r>
      <w:r w:rsidRPr="00EF0E4B">
        <w:rPr>
          <w:rFonts w:ascii="Bookman Old Style" w:hAnsi="Bookman Old Style"/>
          <w:color w:val="000000"/>
          <w:shd w:val="clear" w:color="auto" w:fill="FFFFFF"/>
        </w:rPr>
        <w:t xml:space="preserve"> </w:t>
      </w:r>
      <w:hyperlink r:id="rId12" w:history="1">
        <w:r w:rsidRPr="00EF0E4B">
          <w:rPr>
            <w:rFonts w:ascii="Bookman Old Style" w:hAnsi="Bookman Old Style"/>
            <w:color w:val="0563C1"/>
            <w:u w:val="single"/>
          </w:rPr>
          <w:t>salsabila191106@gmail.com</w:t>
        </w:r>
      </w:hyperlink>
      <w:r w:rsidRPr="00EF0E4B">
        <w:rPr>
          <w:color w:val="000000"/>
        </w:rPr>
        <w:t xml:space="preserve">. </w:t>
      </w:r>
      <w:hyperlink r:id="rId13" w:history="1">
        <w:r w:rsidR="00101E16" w:rsidRPr="00101E16">
          <w:rPr>
            <w:rFonts w:ascii="Bookman Old Style" w:hAnsi="Bookman Old Style"/>
            <w:color w:val="0563C1"/>
          </w:rPr>
          <w:t>heri.surikno@med.unand.ac.id</w:t>
        </w:r>
      </w:hyperlink>
      <w:r w:rsidRPr="00D20DE1">
        <w:rPr>
          <w:rFonts w:ascii="Bookman Old Style" w:hAnsi="Bookman Old Style"/>
          <w:b/>
          <w:bCs/>
          <w:color w:val="000000"/>
          <w:sz w:val="14"/>
          <w:szCs w:val="14"/>
          <w:vertAlign w:val="superscript"/>
        </w:rPr>
        <w:t>5</w:t>
      </w:r>
      <w:r w:rsidRPr="00D20DE1">
        <w:rPr>
          <w:color w:val="000000"/>
        </w:rPr>
        <w:t xml:space="preserve"> </w:t>
      </w:r>
    </w:p>
    <w:p w14:paraId="2054EA76" w14:textId="77777777" w:rsidR="00DC5261" w:rsidRDefault="00DC5261">
      <w:pPr>
        <w:jc w:val="center"/>
        <w:rPr>
          <w:rFonts w:ascii="Bookman Old Style" w:eastAsia="Bookman Old Style" w:hAnsi="Bookman Old Style" w:cs="Bookman Old Style"/>
        </w:rPr>
      </w:pPr>
    </w:p>
    <w:p w14:paraId="74B36FBB" w14:textId="77777777" w:rsidR="00DC5261" w:rsidRDefault="00DC5261">
      <w:pPr>
        <w:jc w:val="center"/>
        <w:rPr>
          <w:rFonts w:ascii="Bookman Old Style" w:eastAsia="Bookman Old Style" w:hAnsi="Bookman Old Style" w:cs="Bookman Old Style"/>
          <w:b/>
        </w:rPr>
      </w:pPr>
    </w:p>
    <w:p w14:paraId="22D241FC" w14:textId="77777777" w:rsidR="00DC5261"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ABSTRAK</w:t>
      </w:r>
    </w:p>
    <w:p w14:paraId="773A2D7F" w14:textId="77777777" w:rsidR="00DC5261" w:rsidRDefault="00DC5261">
      <w:pPr>
        <w:jc w:val="both"/>
        <w:rPr>
          <w:rFonts w:ascii="Bookman Old Style" w:eastAsia="Bookman Old Style" w:hAnsi="Bookman Old Style" w:cs="Bookman Old Style"/>
        </w:rPr>
      </w:pPr>
    </w:p>
    <w:p w14:paraId="0DF04FE2" w14:textId="77777777" w:rsidR="00EF0E4B" w:rsidRDefault="00EF0E4B" w:rsidP="00EF0E4B">
      <w:pPr>
        <w:pStyle w:val="NormalWeb"/>
        <w:spacing w:before="0" w:beforeAutospacing="0" w:after="0" w:afterAutospacing="0"/>
        <w:jc w:val="both"/>
        <w:rPr>
          <w:color w:val="000000"/>
        </w:rPr>
      </w:pPr>
      <w:r>
        <w:rPr>
          <w:rFonts w:ascii="Bookman Old Style" w:hAnsi="Bookman Old Style"/>
          <w:color w:val="000000"/>
        </w:rPr>
        <w:t>Penelitian ini dilatar belakangi oleh penerapan musyawarah di lingkungan kampus yang tidak selalu berjalan optimal karena perubahan pola komunikasi generasi muda, pengaruh media sosial, serta berkembangnya individualisme sering kali memengaruhi cara mahasiswa menyikapi konflik, sehingga penting untuk mengetahui persepi mahasiswa terhadap praktik musyawarah dalam menyelesaikan konflik. Jenis penelitian ini adalah penelitian deskriptif kualitatif. Metode pengumpulan data yang digunakan ialah kuesioner, wawancara, dan dokumentasi. Teknik analisis data yaitu pengelompokan data, analisis deskriptif, dan penarikan kesimpulan sementara. Adapun sumber data penelitian ini ialah mahasiswa Fakultas Teknologi Pertanian. Hasil penelitian yang diperoleh terkait mahasiswa Universitas Andalas khususnya Fakultas Teknologi Pertanian memiliki pemahaman dan sikap yang positif terhadap musyawarah sebagai metode penyelesaian konflik. Mayoritas mahasiswa memahami prinsip musyawarah, menilai manfaatnya secara tinggi, serta menunjukkan minat kuat untuk berpartisipasi. Dukungan kampus tergolong baik meskipun fasilitas musyawarah belum optimal. Pelaksanaan musyawarah cenderung berlangsung secara informal. Temuan ini menegaskan bahwa musyawarah berpotensi menjadi metode utama penyelesaian konflik di kampus apabila pengalaman praktik dan dukungan fasilitas ditingkatkan.</w:t>
      </w:r>
    </w:p>
    <w:p w14:paraId="5735568F" w14:textId="77777777" w:rsidR="00DC5261" w:rsidRDefault="00DC5261">
      <w:pPr>
        <w:tabs>
          <w:tab w:val="left" w:pos="567"/>
        </w:tabs>
        <w:jc w:val="both"/>
        <w:rPr>
          <w:rFonts w:ascii="Bookman Old Style" w:eastAsia="Bookman Old Style" w:hAnsi="Bookman Old Style" w:cs="Bookman Old Style"/>
        </w:rPr>
      </w:pPr>
    </w:p>
    <w:p w14:paraId="34469466" w14:textId="77777777" w:rsidR="00DC5261" w:rsidRDefault="00DC5261">
      <w:pPr>
        <w:rPr>
          <w:rFonts w:ascii="Bookman Old Style" w:eastAsia="Bookman Old Style" w:hAnsi="Bookman Old Style" w:cs="Bookman Old Style"/>
          <w:b/>
        </w:rPr>
      </w:pPr>
    </w:p>
    <w:p w14:paraId="12B7EED7" w14:textId="77777777" w:rsidR="00DC5261" w:rsidRDefault="00EF0E4B">
      <w:pPr>
        <w:rPr>
          <w:rFonts w:ascii="Bookman Old Style" w:eastAsia="Bookman Old Style" w:hAnsi="Bookman Old Style" w:cs="Bookman Old Style"/>
          <w:b/>
        </w:rPr>
      </w:pPr>
      <w:r>
        <w:rPr>
          <w:rFonts w:ascii="Bookman Old Style" w:hAnsi="Bookman Old Style"/>
          <w:b/>
          <w:bCs/>
          <w:color w:val="000000"/>
        </w:rPr>
        <w:t xml:space="preserve">Kata Kunci: </w:t>
      </w:r>
      <w:r>
        <w:rPr>
          <w:rFonts w:ascii="Bookman Old Style" w:hAnsi="Bookman Old Style"/>
          <w:color w:val="000000"/>
        </w:rPr>
        <w:t>Persepsi Mahasiswa, Musyawarah, Penyelesaian Konflik</w:t>
      </w:r>
    </w:p>
    <w:p w14:paraId="35526328" w14:textId="77777777" w:rsidR="00DC5261" w:rsidRDefault="00DC5261">
      <w:pPr>
        <w:rPr>
          <w:rFonts w:ascii="Bookman Old Style" w:eastAsia="Bookman Old Style" w:hAnsi="Bookman Old Style" w:cs="Bookman Old Style"/>
        </w:rPr>
      </w:pPr>
    </w:p>
    <w:p w14:paraId="34B2C016" w14:textId="77777777" w:rsidR="00EF0E4B" w:rsidRDefault="00EF0E4B">
      <w:pPr>
        <w:rPr>
          <w:rFonts w:ascii="Bookman Old Style" w:eastAsia="Bookman Old Style" w:hAnsi="Bookman Old Style" w:cs="Bookman Old Style"/>
        </w:rPr>
      </w:pPr>
    </w:p>
    <w:p w14:paraId="487FDB91" w14:textId="77777777" w:rsidR="00EF0E4B" w:rsidRDefault="00EF0E4B">
      <w:pPr>
        <w:rPr>
          <w:rFonts w:ascii="Bookman Old Style" w:eastAsia="Bookman Old Style" w:hAnsi="Bookman Old Style" w:cs="Bookman Old Style"/>
        </w:rPr>
      </w:pPr>
    </w:p>
    <w:p w14:paraId="6C171FC4" w14:textId="77777777" w:rsidR="00DC5261" w:rsidRDefault="00000000">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PENDAHULUAN</w:t>
      </w:r>
    </w:p>
    <w:p w14:paraId="4E2A9717" w14:textId="77777777" w:rsidR="00EF0E4B" w:rsidRDefault="00EF0E4B" w:rsidP="00101E16">
      <w:pPr>
        <w:pStyle w:val="NormalWeb"/>
        <w:spacing w:before="0" w:beforeAutospacing="0" w:after="0" w:afterAutospacing="0" w:line="360" w:lineRule="auto"/>
        <w:ind w:firstLine="567"/>
        <w:jc w:val="both"/>
        <w:rPr>
          <w:color w:val="000000"/>
        </w:rPr>
      </w:pPr>
      <w:r>
        <w:rPr>
          <w:rFonts w:ascii="Bookman Old Style" w:hAnsi="Bookman Old Style"/>
          <w:color w:val="000000"/>
        </w:rPr>
        <w:t>Kehidupan di lingkungan kampus memiliki keberagaman latar belakang, pemikiran, serta kepentingan. Keberagaman tersebut mendorong interaksi sosial yang positif, namun sekaligus membuka peluang terjadinya konflik, baik antar</w:t>
      </w:r>
      <w:r w:rsidR="00D20DE1">
        <w:rPr>
          <w:rFonts w:ascii="Bookman Old Style" w:hAnsi="Bookman Old Style"/>
          <w:color w:val="000000"/>
          <w:lang w:val="en-US"/>
        </w:rPr>
        <w:t xml:space="preserve"> </w:t>
      </w:r>
      <w:r>
        <w:rPr>
          <w:rFonts w:ascii="Bookman Old Style" w:hAnsi="Bookman Old Style"/>
          <w:color w:val="000000"/>
        </w:rPr>
        <w:t>individu, antarkelompok, maupun antara mahasiswa dan pihak institusi. Konflik yang tidak dikelola dengan baik dapat menimbulkan ketegangan, menurunkan kenyamanan belajar, serta menghambat terciptanya lingkungan akademik yang kondusif.</w:t>
      </w:r>
    </w:p>
    <w:p w14:paraId="52F334FB" w14:textId="77777777" w:rsidR="00EF0E4B" w:rsidRDefault="00EF0E4B" w:rsidP="00101E16">
      <w:pPr>
        <w:pStyle w:val="NormalWeb"/>
        <w:spacing w:before="0" w:beforeAutospacing="0" w:after="0" w:afterAutospacing="0" w:line="360" w:lineRule="auto"/>
        <w:ind w:firstLine="567"/>
        <w:jc w:val="both"/>
        <w:rPr>
          <w:color w:val="000000"/>
        </w:rPr>
      </w:pPr>
      <w:r>
        <w:rPr>
          <w:rFonts w:ascii="Bookman Old Style" w:hAnsi="Bookman Old Style"/>
          <w:color w:val="000000"/>
        </w:rPr>
        <w:t>Salah satu nilai luhur yang diwariskan dalam budaya Indonesia untuk menyelesaikan konflik adalah musyawarah. Musyawarah dipandang sebagai cara penyelesaian masalah yang mengedepankan dialog, kebersamaan, kesetaraan, serta pencarian solusi yang disepakati bersama. Dalam konteks pendidikan tinggi, praktik musyawarah menjadi penting untuk membangun karakter mahasiswa yang demokratis, kritis, dan mampu menyelesaikan persoalan secara damai.</w:t>
      </w:r>
    </w:p>
    <w:p w14:paraId="5744630A" w14:textId="77777777" w:rsidR="00632330" w:rsidRDefault="00632330" w:rsidP="00101E16">
      <w:pPr>
        <w:pStyle w:val="NormalWeb"/>
        <w:spacing w:before="0" w:beforeAutospacing="0" w:after="0" w:afterAutospacing="0" w:line="360" w:lineRule="auto"/>
        <w:ind w:firstLine="851"/>
        <w:jc w:val="both"/>
        <w:rPr>
          <w:color w:val="000000"/>
        </w:rPr>
      </w:pPr>
      <w:r>
        <w:rPr>
          <w:rFonts w:ascii="Bookman Old Style" w:hAnsi="Bookman Old Style"/>
          <w:color w:val="000000"/>
        </w:rPr>
        <w:t>Musyawarah merupakan proses pengambilan keputusan melalui diskusi bersama yang melibatkan semua pihak yang berkepentingan. Dalam Islam, musyawarah menjadi ajaran fundamental yang mengutamakan kesepakatan dan keadilan. Hal ini ditegaskan dalam QS. Asy-Syura ayat 38 yang menyebutkan bahwa urusan orang beriman diputuskan melalui permusyawaratan. Ayat ini menekankan bahwa musyawarah merupakan ciri kematangan sosial dan spiritual seorang muslim. Dalam perspektif Islam, musyawarah memiliki posisi yang sangat penting dalam kehidupan manusia. Nilai musyawarah tidak hanya berlaku dalam konteks kehidupan berbangsa dan bernegara, tetapi juga dalam lingkup keluarga dan berbagai aspek sosial lainnya. Hal ini terlihat dari perhatian besar yang diberikan oleh Al-Qur’an dan Hadis, yang memberikan perintah serta anjuran kepada umat Islam untuk melakukan musyawarah ketika menghadapi berbagai permasalahan yang perlu diselesaikan. (Mukhid, 2016)</w:t>
      </w:r>
    </w:p>
    <w:p w14:paraId="75985903" w14:textId="77777777" w:rsidR="00632330" w:rsidRDefault="00632330" w:rsidP="00101E16">
      <w:pPr>
        <w:pStyle w:val="NormalWeb"/>
        <w:spacing w:before="0" w:beforeAutospacing="0" w:after="0" w:afterAutospacing="0" w:line="360" w:lineRule="auto"/>
        <w:ind w:firstLine="851"/>
        <w:jc w:val="both"/>
        <w:rPr>
          <w:color w:val="000000"/>
        </w:rPr>
      </w:pPr>
      <w:r>
        <w:rPr>
          <w:rFonts w:ascii="Bookman Old Style" w:hAnsi="Bookman Old Style"/>
          <w:color w:val="000000"/>
        </w:rPr>
        <w:t>Selain itu, QS. Ali Imran ayat 159 mengajarkan bahwa Nabi Muhammad SAW diberi perintah untuk bermusyawarah dengan para sahabatnya dalam urusan penting. Ini menjadi teladan bahwa musyawarah adalah proses strategis yang melibatkan kelembutan, kesabaran, dan penghargaan terhadap perbedaan pendapat.</w:t>
      </w:r>
    </w:p>
    <w:p w14:paraId="709BB4E2" w14:textId="77777777" w:rsidR="00632330" w:rsidRDefault="00632330" w:rsidP="00101E16">
      <w:pPr>
        <w:pStyle w:val="NormalWeb"/>
        <w:spacing w:before="0" w:beforeAutospacing="0" w:after="0" w:afterAutospacing="0" w:line="360" w:lineRule="auto"/>
        <w:ind w:firstLine="851"/>
        <w:jc w:val="both"/>
        <w:rPr>
          <w:color w:val="000000"/>
        </w:rPr>
      </w:pPr>
      <w:r>
        <w:rPr>
          <w:rFonts w:ascii="Bookman Old Style" w:hAnsi="Bookman Old Style"/>
          <w:color w:val="000000"/>
        </w:rPr>
        <w:lastRenderedPageBreak/>
        <w:t>Menurut Quraish Shihab (1996:122), musyawarah adalah bentuk penyelesaian masalah yang menghormati martabat manusia karena setiap individu diberi ruang untuk menyampaikan pendapatnya secara adil.</w:t>
      </w:r>
      <w:r>
        <w:rPr>
          <w:color w:val="000000"/>
          <w:lang w:val="en-US"/>
        </w:rPr>
        <w:t xml:space="preserve"> </w:t>
      </w:r>
      <w:r>
        <w:rPr>
          <w:rFonts w:ascii="Bookman Old Style" w:hAnsi="Bookman Old Style"/>
          <w:color w:val="000000"/>
        </w:rPr>
        <w:t xml:space="preserve">Dalam konteks sosial, Robbins (2003) menyebut musyawarah sebagai bentuk </w:t>
      </w:r>
      <w:r w:rsidRPr="00EF0E4B">
        <w:rPr>
          <w:rFonts w:ascii="Bookman Old Style" w:hAnsi="Bookman Old Style"/>
          <w:i/>
          <w:iCs/>
          <w:color w:val="000000"/>
        </w:rPr>
        <w:t>participative decision</w:t>
      </w:r>
      <w:r>
        <w:rPr>
          <w:rFonts w:ascii="Bookman Old Style" w:hAnsi="Bookman Old Style"/>
          <w:color w:val="000000"/>
        </w:rPr>
        <w:t>-making, yaitu mekanisme pengambilan keputusan yang melibatkan anggota kelompok agar tercipta rasa memiliki terhadap keputusan yang dihasilkan. Musyawarah tidak hanya menghasilkan keputusan, tetapi juga memperkuat solidaritas sosial, meningkatkan kepercayaan, serta menciptakan suasana kerja yang kondusif.</w:t>
      </w:r>
    </w:p>
    <w:p w14:paraId="2077386A" w14:textId="77777777" w:rsidR="00632330" w:rsidRDefault="00632330" w:rsidP="00101E16">
      <w:pPr>
        <w:pStyle w:val="NormalWeb"/>
        <w:spacing w:before="0" w:beforeAutospacing="0" w:after="0" w:afterAutospacing="0" w:line="360" w:lineRule="auto"/>
        <w:ind w:firstLine="851"/>
        <w:jc w:val="both"/>
        <w:rPr>
          <w:color w:val="000000"/>
        </w:rPr>
      </w:pPr>
      <w:r>
        <w:rPr>
          <w:rFonts w:ascii="Bookman Old Style" w:hAnsi="Bookman Old Style"/>
          <w:color w:val="000000"/>
        </w:rPr>
        <w:t>Manusia adalah makhluk sosial yang saling berinteraksi dan berkomunikasi satu sama lain. Dalam berkomunikasi pasti akan ditemukan berbagai macam konflik atau kendala, terlebih lagi dengan keadaan Indonesia yang memiliki beragam suku dan budaya (Syaiful, 2022)</w:t>
      </w:r>
    </w:p>
    <w:p w14:paraId="18BC0D28" w14:textId="77777777" w:rsidR="00632330" w:rsidRDefault="00632330" w:rsidP="00101E16">
      <w:pPr>
        <w:pStyle w:val="NormalWeb"/>
        <w:spacing w:before="0" w:beforeAutospacing="0" w:after="0" w:afterAutospacing="0" w:line="360" w:lineRule="auto"/>
        <w:ind w:firstLine="851"/>
        <w:jc w:val="both"/>
        <w:rPr>
          <w:color w:val="000000"/>
        </w:rPr>
      </w:pPr>
      <w:r>
        <w:rPr>
          <w:rFonts w:ascii="Bookman Old Style" w:hAnsi="Bookman Old Style"/>
          <w:color w:val="000000"/>
        </w:rPr>
        <w:t>Konflik adalah kondisi ketika dua pihak atau lebih memiliki perbedaan tujuan, persepsi, nilai, atau kepentingan sehingga menimbulkan ketegangan (Soekanto, 2012). Konflik tidak selalu bersifat negatif, namun merupakan dinamika sosial yang wajar dalam kehidupan manusia. Coser (1956) menyatakan bahwa konflik dapat memiliki dua fungsi: destruktif dan konstruktif. Konflik konstruktif mendorong perubahan sosial, membuka ruang diskusi, dan memperbaiki tatanan nilai dalam komunitas.</w:t>
      </w:r>
    </w:p>
    <w:p w14:paraId="0151786C" w14:textId="77777777" w:rsidR="00632330" w:rsidRDefault="00632330" w:rsidP="00101E16">
      <w:pPr>
        <w:pStyle w:val="NormalWeb"/>
        <w:spacing w:before="0" w:beforeAutospacing="0" w:after="0" w:afterAutospacing="0" w:line="360" w:lineRule="auto"/>
        <w:ind w:firstLine="851"/>
        <w:jc w:val="both"/>
        <w:rPr>
          <w:color w:val="000000"/>
        </w:rPr>
      </w:pPr>
      <w:r>
        <w:rPr>
          <w:rFonts w:ascii="Bookman Old Style" w:hAnsi="Bookman Old Style"/>
          <w:color w:val="000000"/>
        </w:rPr>
        <w:t>Dalam lingkungan organisasi atau institusi pendidikan, konflik sering muncul akibat komunikasi yang buruk, ketidak</w:t>
      </w:r>
      <w:r>
        <w:rPr>
          <w:rFonts w:ascii="Bookman Old Style" w:hAnsi="Bookman Old Style"/>
          <w:color w:val="000000"/>
          <w:lang w:val="en-US"/>
        </w:rPr>
        <w:t xml:space="preserve"> </w:t>
      </w:r>
      <w:r>
        <w:rPr>
          <w:rFonts w:ascii="Bookman Old Style" w:hAnsi="Bookman Old Style"/>
          <w:color w:val="000000"/>
        </w:rPr>
        <w:t>jelasan struktur organisasi, perbedaan latar belakang, hingga perebutan sumber daya (Wirawan, 2010). Ketika konflik tidak dikelola dengan baik, hubungan antar</w:t>
      </w:r>
      <w:r>
        <w:rPr>
          <w:rFonts w:ascii="Bookman Old Style" w:hAnsi="Bookman Old Style"/>
          <w:color w:val="000000"/>
          <w:lang w:val="en-US"/>
        </w:rPr>
        <w:t xml:space="preserve"> </w:t>
      </w:r>
      <w:r>
        <w:rPr>
          <w:rFonts w:ascii="Bookman Old Style" w:hAnsi="Bookman Old Style"/>
          <w:color w:val="000000"/>
        </w:rPr>
        <w:t>individu menjadi renggang dan tujuan bersama sulit dicapai.</w:t>
      </w:r>
    </w:p>
    <w:p w14:paraId="2D858640" w14:textId="77777777" w:rsidR="00632330" w:rsidRDefault="00632330" w:rsidP="00101E16">
      <w:pPr>
        <w:pStyle w:val="NormalWeb"/>
        <w:spacing w:before="0" w:beforeAutospacing="0" w:after="0" w:afterAutospacing="0" w:line="360" w:lineRule="auto"/>
        <w:ind w:firstLine="567"/>
        <w:jc w:val="both"/>
        <w:rPr>
          <w:color w:val="000000"/>
        </w:rPr>
      </w:pPr>
      <w:r>
        <w:rPr>
          <w:rFonts w:ascii="Bookman Old Style" w:hAnsi="Bookman Old Style"/>
          <w:color w:val="000000"/>
        </w:rPr>
        <w:t xml:space="preserve">Musyawarah merupakan salah satu metode penyelesaian konflik yang mengedepankan komunikasi terbuka dan kesepakatan moral. Robbins (2003) menjelaskan bahwa konflik dapat dikelola melalui strategi </w:t>
      </w:r>
      <w:r>
        <w:rPr>
          <w:rFonts w:ascii="Bookman Old Style" w:hAnsi="Bookman Old Style"/>
          <w:color w:val="000000"/>
          <w:lang w:val="en-US"/>
        </w:rPr>
        <w:t>kolaborasi</w:t>
      </w:r>
      <w:r>
        <w:rPr>
          <w:rFonts w:ascii="Bookman Old Style" w:hAnsi="Bookman Old Style"/>
          <w:color w:val="000000"/>
        </w:rPr>
        <w:t>, di mana pihak yang berkonflik mencari solusi yang saling menguntungkan. Strategi ini selaras dengan prinsip musyawarah dalam Islam: menghindari kekerasan, menjaga martabat lawan bicara, dan mencari titik temu yang adil.</w:t>
      </w:r>
    </w:p>
    <w:p w14:paraId="767C15DF" w14:textId="77777777" w:rsidR="00632330" w:rsidRDefault="00632330" w:rsidP="00101E16">
      <w:pPr>
        <w:pStyle w:val="NormalWeb"/>
        <w:spacing w:before="0" w:beforeAutospacing="0" w:after="0" w:afterAutospacing="0" w:line="360" w:lineRule="auto"/>
        <w:ind w:firstLine="567"/>
        <w:jc w:val="both"/>
        <w:rPr>
          <w:rFonts w:ascii="Bookman Old Style" w:hAnsi="Bookman Old Style"/>
          <w:color w:val="000000"/>
        </w:rPr>
      </w:pPr>
      <w:r>
        <w:rPr>
          <w:rFonts w:ascii="Bookman Old Style" w:hAnsi="Bookman Old Style"/>
          <w:color w:val="000000"/>
        </w:rPr>
        <w:t xml:space="preserve">Dengan demikian, konflik menjadi pemicu munculnya musyawarah, sedangkan musyawarah menjadi jembatan penyelesaian konflik. Proses ini </w:t>
      </w:r>
      <w:r>
        <w:rPr>
          <w:rFonts w:ascii="Bookman Old Style" w:hAnsi="Bookman Old Style"/>
          <w:color w:val="000000"/>
        </w:rPr>
        <w:lastRenderedPageBreak/>
        <w:t>bukan hanya meredakan ketegangan, tetapi juga memperkuat nilai persatuan, empati, dan demokrasi di lingkungan sosial, termasuk kampus.</w:t>
      </w:r>
    </w:p>
    <w:p w14:paraId="11600270" w14:textId="77777777" w:rsidR="00EF0E4B" w:rsidRDefault="00EF0E4B" w:rsidP="00101E16">
      <w:pPr>
        <w:pStyle w:val="NormalWeb"/>
        <w:spacing w:before="0" w:beforeAutospacing="0" w:after="0" w:afterAutospacing="0" w:line="360" w:lineRule="auto"/>
        <w:ind w:firstLine="567"/>
        <w:jc w:val="both"/>
        <w:rPr>
          <w:color w:val="000000"/>
        </w:rPr>
      </w:pPr>
      <w:r>
        <w:rPr>
          <w:rFonts w:ascii="Bookman Old Style" w:hAnsi="Bookman Old Style"/>
          <w:color w:val="000000"/>
        </w:rPr>
        <w:t>Realitanya penerapan musyawarah di lingkungan kampus tidak selalu berjalan optimal. Hal ini karena perubahan pola komunikasi generasi muda, pengaruh media sosial, serta berkembangnya individualisme sering kali memengaruhi cara mahasiswa menyikapi konflik. Disinilah persepsi mahasiswa terhadap musyawarah menjadi faktor kunci. Jika mahasiswa memandang musyawarah sebagai cara efektif, adil, dan relevan, maka praktik tersebut akan lebih mudah diterapkan dalam penyelesaian konflik kampus. Sebaliknya, persepsi yang negatif dapat membuat mahasiswa lebih memilih penyelesaian yang bersifat konfrontatif. Oleh karena itu, penting untuk memahami bagaimana mahasiswa memaknai praktik musyawarah sebagai metode penyelesaian konflik.</w:t>
      </w:r>
    </w:p>
    <w:p w14:paraId="2B4A4CA5" w14:textId="77777777" w:rsidR="00DC5261" w:rsidRPr="00EF0E4B" w:rsidRDefault="00EF0E4B" w:rsidP="00101E16">
      <w:pPr>
        <w:pStyle w:val="NormalWeb"/>
        <w:spacing w:before="0" w:beforeAutospacing="0" w:after="0" w:afterAutospacing="0" w:line="360" w:lineRule="auto"/>
        <w:ind w:firstLine="567"/>
        <w:jc w:val="both"/>
        <w:rPr>
          <w:color w:val="000000"/>
        </w:rPr>
      </w:pPr>
      <w:r>
        <w:rPr>
          <w:rFonts w:ascii="Bookman Old Style" w:hAnsi="Bookman Old Style"/>
          <w:color w:val="000000"/>
        </w:rPr>
        <w:t>Hasil kajian diharapkan menjadi dasar bagi institusi pendidikan dalam merancang strategi penguatan budaya musyawarah, membangun mekanisme penyelesaian konflik yang lebih partisipatif, serta memperkuat karakter mahasiswa sebagai agen perubahan yang menjunjung tinggi nilai demokrasi dan perdamaian. Dengan demikian, penelitian ini memiliki kontribusi penting dalam menciptakan lingkungan kampus yang harmonis, inklusif, dan mampu mengelola perbedaan secara bijaksana.</w:t>
      </w:r>
    </w:p>
    <w:p w14:paraId="5C6B1421" w14:textId="77777777" w:rsidR="00DC5261" w:rsidRDefault="00DC5261">
      <w:pPr>
        <w:spacing w:line="360" w:lineRule="auto"/>
        <w:jc w:val="both"/>
        <w:rPr>
          <w:rFonts w:ascii="Bookman Old Style" w:eastAsia="Bookman Old Style" w:hAnsi="Bookman Old Style" w:cs="Bookman Old Style"/>
        </w:rPr>
      </w:pPr>
    </w:p>
    <w:p w14:paraId="12F02D0D" w14:textId="77777777" w:rsidR="00DC5261" w:rsidRDefault="00000000">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t>TINJAUAN PUSTAKA</w:t>
      </w:r>
      <w:r>
        <w:rPr>
          <w:rFonts w:ascii="Bookman Old Style" w:eastAsia="Bookman Old Style" w:hAnsi="Bookman Old Style" w:cs="Bookman Old Style"/>
        </w:rPr>
        <w:t xml:space="preserve">/ </w:t>
      </w:r>
      <w:r>
        <w:rPr>
          <w:rFonts w:ascii="Bookman Old Style" w:eastAsia="Bookman Old Style" w:hAnsi="Bookman Old Style" w:cs="Bookman Old Style"/>
          <w:b/>
        </w:rPr>
        <w:t>METODE PENELITIAN</w:t>
      </w:r>
    </w:p>
    <w:p w14:paraId="22FD1741" w14:textId="77777777" w:rsidR="00632330" w:rsidRDefault="00632330" w:rsidP="00101E16">
      <w:pPr>
        <w:pStyle w:val="NormalWeb"/>
        <w:spacing w:before="0" w:beforeAutospacing="0" w:after="0" w:afterAutospacing="0" w:line="360" w:lineRule="auto"/>
        <w:ind w:firstLine="720"/>
        <w:jc w:val="both"/>
        <w:rPr>
          <w:color w:val="000000"/>
        </w:rPr>
      </w:pPr>
      <w:r>
        <w:rPr>
          <w:rFonts w:ascii="Bookman Old Style" w:hAnsi="Bookman Old Style"/>
          <w:color w:val="000000"/>
        </w:rPr>
        <w:t>Penelitian yang dilakukan oleh (Sari et al., 2025).</w:t>
      </w:r>
      <w:r>
        <w:rPr>
          <w:rFonts w:ascii="Bookman Old Style" w:hAnsi="Bookman Old Style"/>
          <w:b/>
          <w:bCs/>
          <w:color w:val="000000"/>
        </w:rPr>
        <w:t> </w:t>
      </w:r>
      <w:r>
        <w:rPr>
          <w:rFonts w:ascii="Bookman Old Style" w:hAnsi="Bookman Old Style"/>
          <w:color w:val="000000"/>
        </w:rPr>
        <w:t>tentang Persepsi Mahasiswa Terhadap Peran Sila Keempat Pancasila dalam Budaya Demokrasi di Kampus menunjukkan bahwa sila keempat Pancasila, yaitu Kerakyatan yang dipimpin oleh hikmat kebijaksanaan dalam permusyawaratan/perwakilan, memiliki peran fundamental dalam pelaksanaan budaya demokrasi di lingkungan perguruan tinggi. Hasil penelitian tersebut menegaskan bahwa nilai permusyawaratan bukan hanya landasan normatif, tetapi juga menjadi prinsip praktik dalam pengambilan keputusan secara adil dan beretika. Penelitian tersebut juga mengidentifikasi bahwa praktik demokrasi permusyawaratan menjadi faktor penting dalam membangun harmoni dan kebijaksanaan bersama di kampus.</w:t>
      </w:r>
    </w:p>
    <w:p w14:paraId="6271CFAF" w14:textId="77777777" w:rsidR="00632330" w:rsidRDefault="00632330" w:rsidP="00101E16">
      <w:pPr>
        <w:pStyle w:val="NormalWeb"/>
        <w:spacing w:before="0" w:beforeAutospacing="0" w:after="0" w:afterAutospacing="0" w:line="360" w:lineRule="auto"/>
        <w:ind w:firstLine="720"/>
        <w:jc w:val="both"/>
        <w:rPr>
          <w:color w:val="000000"/>
        </w:rPr>
      </w:pPr>
      <w:r>
        <w:rPr>
          <w:rFonts w:ascii="Bookman Old Style" w:hAnsi="Bookman Old Style"/>
          <w:color w:val="000000"/>
        </w:rPr>
        <w:lastRenderedPageBreak/>
        <w:t>Temuan penelitian tersebut relevan dengan penelitian ini, karena sama-sama menyoroti pentingnya musyawarah sebagai metode demokratis dalam menyelesaikan persoalan di lingkungan perguruan tinggi. Namun demikian, penelitian terdahulu lebih menekankan pada aspek pemahaman konseptual dan historis sila keempat Pancasila dalam konteks budaya demokrasi, sedangkan penelitian ini berfokus pada pandangan mahasiswa terhadap efektivitas musyawarah sebagai cara menyelesaikan konflik secara praktis di lingkungan kampus.</w:t>
      </w:r>
    </w:p>
    <w:p w14:paraId="433959D2" w14:textId="77777777" w:rsidR="00632330" w:rsidRDefault="00632330" w:rsidP="00101E16">
      <w:pPr>
        <w:pStyle w:val="NormalWeb"/>
        <w:spacing w:before="0" w:beforeAutospacing="0" w:after="0" w:afterAutospacing="0" w:line="360" w:lineRule="auto"/>
        <w:ind w:firstLine="720"/>
        <w:jc w:val="both"/>
        <w:rPr>
          <w:rFonts w:ascii="Bookman Old Style" w:hAnsi="Bookman Old Style"/>
          <w:color w:val="000000"/>
        </w:rPr>
      </w:pPr>
      <w:r>
        <w:rPr>
          <w:rFonts w:ascii="Bookman Old Style" w:hAnsi="Bookman Old Style"/>
          <w:color w:val="000000"/>
        </w:rPr>
        <w:t>Perbedaan fokus antara penelitian adalah penelitian sebelumnya menekankan nilai normatif musyawarah sebagai prinsip demokrasi Pancasila, sedangkan penelitian ini menilai bagaimana mahasiswa mengimplementasikan dan mengevaluasi musyawarah dalam pengalaman penyelesaian konflik nyata, termasuk faktor pendukung dan kendalanya. Dengan demikian, penelitian ini memperluas kerangka yang telah dibangun oleh penelitian terdahulu melalui pendekatan yang lebih aplikatif dan berbasis pengalaman langsung.</w:t>
      </w:r>
    </w:p>
    <w:p w14:paraId="0A37A0B0" w14:textId="77777777" w:rsidR="00632330" w:rsidRDefault="00632330" w:rsidP="00101E16">
      <w:pPr>
        <w:pStyle w:val="NormalWeb"/>
        <w:spacing w:before="0" w:beforeAutospacing="0" w:after="0" w:afterAutospacing="0" w:line="360" w:lineRule="auto"/>
        <w:ind w:firstLine="720"/>
        <w:jc w:val="both"/>
        <w:rPr>
          <w:rFonts w:ascii="Bookman Old Style" w:hAnsi="Bookman Old Style"/>
          <w:color w:val="000000"/>
        </w:rPr>
      </w:pPr>
      <w:r>
        <w:rPr>
          <w:rFonts w:ascii="Bookman Old Style" w:hAnsi="Bookman Old Style"/>
          <w:color w:val="000000"/>
          <w:lang w:val="en-US"/>
        </w:rPr>
        <w:t xml:space="preserve">Penelitian </w:t>
      </w:r>
      <w:r>
        <w:rPr>
          <w:rFonts w:ascii="Bookman Old Style" w:hAnsi="Bookman Old Style"/>
          <w:color w:val="000000"/>
        </w:rPr>
        <w:t>ini menggunakan metode deskriptif kualitatif. Metode ini bertujuan menggambarkan persepsi mahasiswa mengenai praktik musyawarah dalam menyelesaikan konflik di lingkungan kampus. Pendekatan kualitatif dipilih karena penelitian ini mengkaji makna, pengalaman, serta pandangan responden secara mendalam, bukan sekadar angka statistik.</w:t>
      </w:r>
      <w:r>
        <w:rPr>
          <w:rFonts w:ascii="Bookman Old Style" w:hAnsi="Bookman Old Style"/>
          <w:color w:val="000000"/>
          <w:lang w:val="en-US"/>
        </w:rPr>
        <w:t xml:space="preserve"> </w:t>
      </w:r>
      <w:r>
        <w:rPr>
          <w:rFonts w:ascii="Bookman Old Style" w:hAnsi="Bookman Old Style"/>
          <w:color w:val="000000"/>
        </w:rPr>
        <w:t>Subjek penelitian adalah mahasiswa Universitas Andalas, khususnya mahasiswa Fakultas Teknologi Pertanian. Responden dipilih karena memiliki pengalaman interaksi sosial yang beragam melalui kegiatan organisasi, tugas kelompok, maupun komunitas kampus lain.</w:t>
      </w:r>
    </w:p>
    <w:p w14:paraId="131C39C9" w14:textId="77777777" w:rsidR="00632330" w:rsidRPr="00632330" w:rsidRDefault="00632330" w:rsidP="00101E16">
      <w:pPr>
        <w:pStyle w:val="NormalWeb"/>
        <w:spacing w:before="0" w:beforeAutospacing="0" w:after="0" w:afterAutospacing="0" w:line="360" w:lineRule="auto"/>
        <w:ind w:firstLine="720"/>
        <w:jc w:val="both"/>
        <w:rPr>
          <w:rFonts w:ascii="Bookman Old Style" w:hAnsi="Bookman Old Style"/>
          <w:color w:val="000000"/>
          <w:lang w:val="en-US"/>
        </w:rPr>
      </w:pPr>
      <w:r>
        <w:rPr>
          <w:rFonts w:ascii="Bookman Old Style" w:hAnsi="Bookman Old Style"/>
          <w:color w:val="000000"/>
          <w:lang w:val="en-US"/>
        </w:rPr>
        <w:t>Intrumen penelitian meliputi kuesioner (</w:t>
      </w:r>
      <w:r w:rsidRPr="00101E16">
        <w:rPr>
          <w:rFonts w:ascii="Bookman Old Style" w:hAnsi="Bookman Old Style"/>
          <w:i/>
          <w:iCs/>
          <w:color w:val="000000"/>
          <w:lang w:val="en-US"/>
        </w:rPr>
        <w:t>google form</w:t>
      </w:r>
      <w:r>
        <w:rPr>
          <w:rFonts w:ascii="Bookman Old Style" w:hAnsi="Bookman Old Style"/>
          <w:color w:val="000000"/>
          <w:lang w:val="en-US"/>
        </w:rPr>
        <w:t>), pedoman wawancara, observasi dan dokumentasi. Data dianalisis secara deskriptif kualitatit dengan tahapan menampung data dari kuesioner, wawancara, observasi dan dokumentasi. Setelahnya data direduksi dan disajikan dan terakhir ditarik kesimpulan berdasarkan pola yang ditemukan dan dikaitkan dengan teori musyawarah dan konflik.</w:t>
      </w:r>
    </w:p>
    <w:p w14:paraId="3CE19030" w14:textId="77777777" w:rsidR="00DC5261" w:rsidRDefault="00DC5261" w:rsidP="00632330">
      <w:pPr>
        <w:spacing w:line="360" w:lineRule="auto"/>
        <w:jc w:val="both"/>
        <w:rPr>
          <w:rFonts w:ascii="Bookman Old Style" w:eastAsia="Bookman Old Style" w:hAnsi="Bookman Old Style" w:cs="Bookman Old Style"/>
        </w:rPr>
      </w:pPr>
    </w:p>
    <w:p w14:paraId="346555CF" w14:textId="77777777" w:rsidR="00101E16" w:rsidRDefault="00101E16" w:rsidP="00632330">
      <w:pPr>
        <w:spacing w:line="360" w:lineRule="auto"/>
        <w:jc w:val="both"/>
        <w:rPr>
          <w:rFonts w:ascii="Bookman Old Style" w:eastAsia="Bookman Old Style" w:hAnsi="Bookman Old Style" w:cs="Bookman Old Style"/>
        </w:rPr>
      </w:pPr>
    </w:p>
    <w:p w14:paraId="2E99ADE8" w14:textId="77777777" w:rsidR="00101E16" w:rsidRDefault="00101E16" w:rsidP="00632330">
      <w:pPr>
        <w:spacing w:line="360" w:lineRule="auto"/>
        <w:jc w:val="both"/>
        <w:rPr>
          <w:rFonts w:ascii="Bookman Old Style" w:eastAsia="Bookman Old Style" w:hAnsi="Bookman Old Style" w:cs="Bookman Old Style"/>
        </w:rPr>
      </w:pPr>
    </w:p>
    <w:p w14:paraId="58B1709A" w14:textId="77777777" w:rsidR="00101E16" w:rsidRDefault="00101E16" w:rsidP="00632330">
      <w:pPr>
        <w:spacing w:line="360" w:lineRule="auto"/>
        <w:jc w:val="both"/>
        <w:rPr>
          <w:rFonts w:ascii="Bookman Old Style" w:eastAsia="Bookman Old Style" w:hAnsi="Bookman Old Style" w:cs="Bookman Old Style"/>
        </w:rPr>
      </w:pPr>
    </w:p>
    <w:p w14:paraId="2A399D30" w14:textId="77777777" w:rsidR="00DC5261" w:rsidRDefault="00000000">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HASIL DAN PEMBAHASAN</w:t>
      </w:r>
    </w:p>
    <w:p w14:paraId="7F4FFAB9" w14:textId="77777777" w:rsidR="00632330" w:rsidRDefault="00632330" w:rsidP="00101E16">
      <w:pPr>
        <w:pStyle w:val="NormalWeb"/>
        <w:spacing w:before="0" w:beforeAutospacing="0" w:after="0" w:afterAutospacing="0" w:line="360" w:lineRule="auto"/>
        <w:rPr>
          <w:color w:val="000000"/>
        </w:rPr>
      </w:pPr>
      <w:r>
        <w:rPr>
          <w:rFonts w:ascii="Bookman Old Style" w:hAnsi="Bookman Old Style"/>
          <w:b/>
          <w:bCs/>
          <w:color w:val="000000"/>
        </w:rPr>
        <w:t>Hasil Penelitian</w:t>
      </w:r>
    </w:p>
    <w:p w14:paraId="3A528591" w14:textId="77777777" w:rsidR="00632330" w:rsidRDefault="00632330" w:rsidP="00101E16">
      <w:pPr>
        <w:pStyle w:val="NormalWeb"/>
        <w:spacing w:before="0" w:beforeAutospacing="0" w:after="0" w:afterAutospacing="0" w:line="360" w:lineRule="auto"/>
        <w:jc w:val="both"/>
        <w:rPr>
          <w:color w:val="000000"/>
        </w:rPr>
      </w:pPr>
      <w:r>
        <w:rPr>
          <w:rFonts w:ascii="Bookman Old Style" w:hAnsi="Bookman Old Style"/>
          <w:color w:val="000000"/>
        </w:rPr>
        <w:t>Berdasarkan pengumpulan data lapangan melalui kuesioner dan wawancara terhadap 32 responden mahasiswa Fakultas Teknologi Pertanian Universitas Andalas, bagian ini menyajikan temuan mengenai pandangan mereka terhadap praktik musyawarah dalam penyelesaian konflik di lingkungan Uniersitas Andalas</w:t>
      </w:r>
    </w:p>
    <w:p w14:paraId="0ADAD6FB" w14:textId="77777777" w:rsidR="00632330" w:rsidRDefault="00632330" w:rsidP="00101E16">
      <w:pPr>
        <w:pStyle w:val="NormalWeb"/>
        <w:spacing w:before="0" w:beforeAutospacing="0" w:after="0" w:afterAutospacing="0" w:line="360" w:lineRule="auto"/>
        <w:jc w:val="center"/>
        <w:rPr>
          <w:color w:val="000000"/>
        </w:rPr>
      </w:pPr>
      <w:r>
        <w:rPr>
          <w:rFonts w:ascii="Bookman Old Style" w:hAnsi="Bookman Old Style"/>
          <w:b/>
          <w:bCs/>
          <w:color w:val="000000"/>
        </w:rPr>
        <w:t>Tabel 1. Pemahaman dan Pengetahuan Mahasiswa tentang Musyawarah</w:t>
      </w:r>
    </w:p>
    <w:p w14:paraId="087623B8" w14:textId="77777777" w:rsidR="00632330" w:rsidRDefault="00632330" w:rsidP="00101E16">
      <w:pPr>
        <w:rPr>
          <w:color w:val="000000"/>
        </w:rPr>
      </w:pPr>
    </w:p>
    <w:tbl>
      <w:tblPr>
        <w:tblW w:w="9351" w:type="dxa"/>
        <w:tblCellMar>
          <w:top w:w="15" w:type="dxa"/>
          <w:left w:w="15" w:type="dxa"/>
          <w:bottom w:w="15" w:type="dxa"/>
          <w:right w:w="15" w:type="dxa"/>
        </w:tblCellMar>
        <w:tblLook w:val="04A0" w:firstRow="1" w:lastRow="0" w:firstColumn="1" w:lastColumn="0" w:noHBand="0" w:noVBand="1"/>
      </w:tblPr>
      <w:tblGrid>
        <w:gridCol w:w="5807"/>
        <w:gridCol w:w="1134"/>
        <w:gridCol w:w="992"/>
        <w:gridCol w:w="1418"/>
      </w:tblGrid>
      <w:tr w:rsidR="00632330" w14:paraId="3D8BF40B"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4F6BA"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Kuesioner 1-4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A0FD7"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SS + 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E95E0"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8AC6F"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TS + STS</w:t>
            </w:r>
          </w:p>
        </w:tc>
      </w:tr>
      <w:tr w:rsidR="00632330" w14:paraId="6AC32C08"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E1C0B"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Memahami prinsip dasar musyawarah</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6A7DD"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93,8%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2A945"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6,3%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489B1"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0%</w:t>
            </w:r>
          </w:p>
        </w:tc>
      </w:tr>
      <w:tr w:rsidR="00632330" w14:paraId="6A83D2B9"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D1BDA"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Tahu cara wawancara dilakukan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25815"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96,9%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9E7F5"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3,1%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48309"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0%</w:t>
            </w:r>
          </w:p>
        </w:tc>
      </w:tr>
      <w:tr w:rsidR="00632330" w14:paraId="42C2AF2B"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7F6F8"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Pernah terlibat dalam musyawarah di Kampus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A7A49"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53,1%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21577"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21,9%</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E52FF"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25%</w:t>
            </w:r>
          </w:p>
        </w:tc>
      </w:tr>
      <w:tr w:rsidR="00632330" w14:paraId="463AC007"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6D6BE"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Merasa Percaya Diri Berpartisipasi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913DD"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BBAC9"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46,9%</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97F06"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3,1%</w:t>
            </w:r>
          </w:p>
        </w:tc>
      </w:tr>
    </w:tbl>
    <w:p w14:paraId="56E5A4E2" w14:textId="77777777" w:rsidR="00632330" w:rsidRDefault="00632330" w:rsidP="00101E16">
      <w:pPr>
        <w:rPr>
          <w:color w:val="000000"/>
        </w:rPr>
      </w:pPr>
    </w:p>
    <w:p w14:paraId="42F351DC" w14:textId="77777777" w:rsidR="00632330" w:rsidRDefault="00632330" w:rsidP="00101E16">
      <w:pPr>
        <w:pStyle w:val="NormalWeb"/>
        <w:spacing w:before="0" w:beforeAutospacing="0" w:after="0" w:afterAutospacing="0"/>
        <w:jc w:val="center"/>
        <w:rPr>
          <w:color w:val="000000"/>
        </w:rPr>
      </w:pPr>
      <w:r>
        <w:rPr>
          <w:rFonts w:ascii="Bookman Old Style" w:hAnsi="Bookman Old Style"/>
          <w:b/>
          <w:bCs/>
          <w:color w:val="000000"/>
        </w:rPr>
        <w:t>Tabel 2. Persepsi Mahasiswa Terhadap Manfaat Musyawarah dalam Meneyelesaikan Konflik</w:t>
      </w:r>
    </w:p>
    <w:tbl>
      <w:tblPr>
        <w:tblW w:w="9351" w:type="dxa"/>
        <w:tblCellMar>
          <w:top w:w="15" w:type="dxa"/>
          <w:left w:w="15" w:type="dxa"/>
          <w:bottom w:w="15" w:type="dxa"/>
          <w:right w:w="15" w:type="dxa"/>
        </w:tblCellMar>
        <w:tblLook w:val="04A0" w:firstRow="1" w:lastRow="0" w:firstColumn="1" w:lastColumn="0" w:noHBand="0" w:noVBand="1"/>
      </w:tblPr>
      <w:tblGrid>
        <w:gridCol w:w="5807"/>
        <w:gridCol w:w="1134"/>
        <w:gridCol w:w="992"/>
        <w:gridCol w:w="1418"/>
      </w:tblGrid>
      <w:tr w:rsidR="00632330" w14:paraId="2ABDC499"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84402"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Kuesioner 5-9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5C775"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SS + 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1BF54"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5BBAD"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TS + STS</w:t>
            </w:r>
          </w:p>
        </w:tc>
      </w:tr>
      <w:tr w:rsidR="00632330" w14:paraId="35886B7A"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BF8DF"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Hasilkan solusi adil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7744E"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96,9%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5A063"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3,1%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6DDD2"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0%</w:t>
            </w:r>
          </w:p>
        </w:tc>
      </w:tr>
      <w:tr w:rsidR="00632330" w14:paraId="321F960F"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FE4E9"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Mudah identifikasi akar konflik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DA453"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90,7%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5CA49"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9,4%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E2CF5"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0%</w:t>
            </w:r>
          </w:p>
        </w:tc>
      </w:tr>
      <w:tr w:rsidR="00632330" w14:paraId="4DA9EAAE"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C9C3D"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Ciptakan rasa saling pengertian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27B05"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87,6%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644C3"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12,5%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8B8E5"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0%</w:t>
            </w:r>
          </w:p>
        </w:tc>
      </w:tr>
      <w:tr w:rsidR="00632330" w14:paraId="15B3E1D5"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CE59D"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Lebih baik daripada jalur hukum/kekerasan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167B1"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78,2%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3B8DB"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12,5%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7954F"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9,4%</w:t>
            </w:r>
          </w:p>
          <w:p w14:paraId="4B97B2D1" w14:textId="77777777" w:rsidR="00632330" w:rsidRDefault="00632330" w:rsidP="00101E16">
            <w:pPr>
              <w:spacing w:line="360" w:lineRule="auto"/>
            </w:pPr>
          </w:p>
        </w:tc>
      </w:tr>
      <w:tr w:rsidR="00632330" w14:paraId="1D5CDF66"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B5D0E"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Kurangnya potensi konflik masa depan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DB029"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84,4%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BF913"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12,5%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F221F"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0%</w:t>
            </w:r>
          </w:p>
        </w:tc>
      </w:tr>
    </w:tbl>
    <w:p w14:paraId="0EF30142" w14:textId="77777777" w:rsidR="00632330" w:rsidRDefault="00632330" w:rsidP="00101E16">
      <w:pPr>
        <w:rPr>
          <w:color w:val="000000"/>
        </w:rPr>
      </w:pPr>
    </w:p>
    <w:p w14:paraId="1B83F31B" w14:textId="77777777" w:rsidR="00632330" w:rsidRDefault="00632330" w:rsidP="00101E16">
      <w:pPr>
        <w:pStyle w:val="NormalWeb"/>
        <w:spacing w:before="0" w:beforeAutospacing="0" w:after="0" w:afterAutospacing="0" w:line="360" w:lineRule="auto"/>
        <w:jc w:val="center"/>
        <w:rPr>
          <w:color w:val="000000"/>
        </w:rPr>
      </w:pPr>
      <w:r>
        <w:rPr>
          <w:rFonts w:ascii="Bookman Old Style" w:hAnsi="Bookman Old Style"/>
          <w:b/>
          <w:bCs/>
          <w:color w:val="000000"/>
        </w:rPr>
        <w:t>Tabel 3. Sikap dan Minat Internal Mahasiswa</w:t>
      </w:r>
    </w:p>
    <w:tbl>
      <w:tblPr>
        <w:tblW w:w="9351" w:type="dxa"/>
        <w:tblCellMar>
          <w:top w:w="15" w:type="dxa"/>
          <w:left w:w="15" w:type="dxa"/>
          <w:bottom w:w="15" w:type="dxa"/>
          <w:right w:w="15" w:type="dxa"/>
        </w:tblCellMar>
        <w:tblLook w:val="04A0" w:firstRow="1" w:lastRow="0" w:firstColumn="1" w:lastColumn="0" w:noHBand="0" w:noVBand="1"/>
      </w:tblPr>
      <w:tblGrid>
        <w:gridCol w:w="5807"/>
        <w:gridCol w:w="1134"/>
        <w:gridCol w:w="992"/>
        <w:gridCol w:w="1418"/>
      </w:tblGrid>
      <w:tr w:rsidR="00632330" w14:paraId="41B1C014"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21A24"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Kuesioner 13-15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1ADEC"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SS + 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9FE38"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A68C2"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TS + STS</w:t>
            </w:r>
          </w:p>
        </w:tc>
      </w:tr>
      <w:tr w:rsidR="00632330" w14:paraId="3610684E"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2A4CB"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Bersedia berpartisipasi jika ada konflik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8DE4E"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75,1%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3904"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25%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930C3"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0%</w:t>
            </w:r>
          </w:p>
        </w:tc>
      </w:tr>
      <w:tr w:rsidR="00632330" w14:paraId="7E44B905"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E4C68"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Merekomendasikan musyawaran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603FA"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87,5%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371A1"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12,5%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ADEDE"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0%</w:t>
            </w:r>
          </w:p>
        </w:tc>
      </w:tr>
      <w:tr w:rsidR="00632330" w14:paraId="4B75FC3F"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AF4DF"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Musyawarah harus lebih sering digunakan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0D2D2"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90,7%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4AAE3"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9,4%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CB62E"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0%</w:t>
            </w:r>
          </w:p>
        </w:tc>
      </w:tr>
    </w:tbl>
    <w:p w14:paraId="085AC832" w14:textId="77777777" w:rsidR="00632330" w:rsidRDefault="00632330" w:rsidP="00101E16">
      <w:pPr>
        <w:rPr>
          <w:color w:val="000000"/>
        </w:rPr>
      </w:pPr>
    </w:p>
    <w:p w14:paraId="1DBEC855" w14:textId="77777777" w:rsidR="00632330" w:rsidRDefault="00632330" w:rsidP="00101E16">
      <w:pPr>
        <w:pStyle w:val="NormalWeb"/>
        <w:spacing w:before="0" w:beforeAutospacing="0" w:after="0" w:afterAutospacing="0" w:line="360" w:lineRule="auto"/>
        <w:jc w:val="center"/>
        <w:rPr>
          <w:color w:val="000000"/>
        </w:rPr>
      </w:pPr>
      <w:r>
        <w:rPr>
          <w:rFonts w:ascii="Bookman Old Style" w:hAnsi="Bookman Old Style"/>
          <w:b/>
          <w:bCs/>
          <w:color w:val="000000"/>
        </w:rPr>
        <w:t>Tabel 4. Dukungan Lingkungan Kampus (Internal)</w:t>
      </w:r>
    </w:p>
    <w:tbl>
      <w:tblPr>
        <w:tblW w:w="9351" w:type="dxa"/>
        <w:tblCellMar>
          <w:top w:w="15" w:type="dxa"/>
          <w:left w:w="15" w:type="dxa"/>
          <w:bottom w:w="15" w:type="dxa"/>
          <w:right w:w="15" w:type="dxa"/>
        </w:tblCellMar>
        <w:tblLook w:val="04A0" w:firstRow="1" w:lastRow="0" w:firstColumn="1" w:lastColumn="0" w:noHBand="0" w:noVBand="1"/>
      </w:tblPr>
      <w:tblGrid>
        <w:gridCol w:w="5807"/>
        <w:gridCol w:w="1134"/>
        <w:gridCol w:w="992"/>
        <w:gridCol w:w="1418"/>
      </w:tblGrid>
      <w:tr w:rsidR="00632330" w14:paraId="4C118272"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83820"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Kuesioner 10-12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DF5E6"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SS + 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F3CF7"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2A35A" w14:textId="77777777" w:rsidR="00632330" w:rsidRDefault="00632330" w:rsidP="00101E16">
            <w:pPr>
              <w:pStyle w:val="NormalWeb"/>
              <w:spacing w:before="0" w:beforeAutospacing="0" w:after="0" w:afterAutospacing="0" w:line="360" w:lineRule="auto"/>
            </w:pPr>
            <w:r>
              <w:rPr>
                <w:rFonts w:ascii="Bookman Old Style" w:hAnsi="Bookman Old Style"/>
                <w:b/>
                <w:bCs/>
                <w:color w:val="000000"/>
              </w:rPr>
              <w:t>TS + STS</w:t>
            </w:r>
          </w:p>
        </w:tc>
      </w:tr>
      <w:tr w:rsidR="00632330" w14:paraId="4E8BEAAF"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62595"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Fasilitas Memadai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C9AA0"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53,2%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4A944"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40,6%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E77EF"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6,3%</w:t>
            </w:r>
          </w:p>
        </w:tc>
      </w:tr>
      <w:tr w:rsidR="00632330" w14:paraId="07D7EE1F"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713C3"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Dosen/Staff mendukung</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E1806"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65,6%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C8581"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34,4%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A9236"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0%</w:t>
            </w:r>
          </w:p>
        </w:tc>
      </w:tr>
      <w:tr w:rsidR="00632330" w14:paraId="07D79F46" w14:textId="77777777" w:rsidTr="00632330">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6E033"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Musyawarah adil/aman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3BC33"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59,4%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C8CC"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37,5%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F0389" w14:textId="77777777" w:rsidR="00632330" w:rsidRDefault="00632330" w:rsidP="00101E16">
            <w:pPr>
              <w:pStyle w:val="NormalWeb"/>
              <w:spacing w:before="0" w:beforeAutospacing="0" w:after="0" w:afterAutospacing="0" w:line="360" w:lineRule="auto"/>
            </w:pPr>
            <w:r>
              <w:rPr>
                <w:rFonts w:ascii="Bookman Old Style" w:hAnsi="Bookman Old Style"/>
                <w:color w:val="000000"/>
              </w:rPr>
              <w:t>3,1%</w:t>
            </w:r>
          </w:p>
        </w:tc>
      </w:tr>
    </w:tbl>
    <w:p w14:paraId="760607AF" w14:textId="77777777" w:rsidR="00632330" w:rsidRDefault="00632330" w:rsidP="00101E16">
      <w:pPr>
        <w:spacing w:line="360" w:lineRule="auto"/>
        <w:rPr>
          <w:color w:val="000000"/>
        </w:rPr>
      </w:pPr>
    </w:p>
    <w:p w14:paraId="6061BACF" w14:textId="77777777" w:rsidR="00632330" w:rsidRDefault="00632330" w:rsidP="00101E16">
      <w:pPr>
        <w:pStyle w:val="NormalWeb"/>
        <w:spacing w:before="0" w:beforeAutospacing="0" w:after="0" w:afterAutospacing="0" w:line="360" w:lineRule="auto"/>
        <w:rPr>
          <w:color w:val="000000"/>
        </w:rPr>
      </w:pPr>
      <w:r>
        <w:rPr>
          <w:rFonts w:ascii="Bookman Old Style" w:hAnsi="Bookman Old Style"/>
          <w:b/>
          <w:bCs/>
          <w:color w:val="000000"/>
        </w:rPr>
        <w:lastRenderedPageBreak/>
        <w:t>Pembahasan</w:t>
      </w:r>
    </w:p>
    <w:p w14:paraId="20488951" w14:textId="77777777" w:rsidR="00632330" w:rsidRDefault="00632330" w:rsidP="00101E16">
      <w:pPr>
        <w:pStyle w:val="NormalWeb"/>
        <w:numPr>
          <w:ilvl w:val="0"/>
          <w:numId w:val="1"/>
        </w:numPr>
        <w:spacing w:before="0" w:beforeAutospacing="0" w:after="0" w:afterAutospacing="0" w:line="360" w:lineRule="auto"/>
        <w:ind w:left="426"/>
        <w:jc w:val="both"/>
        <w:textAlignment w:val="baseline"/>
        <w:rPr>
          <w:rFonts w:ascii="Bookman Old Style" w:hAnsi="Bookman Old Style"/>
          <w:color w:val="000000"/>
        </w:rPr>
      </w:pPr>
      <w:r>
        <w:rPr>
          <w:rFonts w:ascii="Bookman Old Style" w:hAnsi="Bookman Old Style"/>
          <w:color w:val="000000"/>
        </w:rPr>
        <w:t>Persepsi Mahasiswa terhadap Praktik Musyawarah dalam Menyelesaikan Konflik di Universitas Andalas</w:t>
      </w:r>
    </w:p>
    <w:p w14:paraId="19C8B468" w14:textId="77777777" w:rsidR="00632330" w:rsidRDefault="00632330" w:rsidP="00101E16">
      <w:pPr>
        <w:pStyle w:val="NormalWeb"/>
        <w:numPr>
          <w:ilvl w:val="1"/>
          <w:numId w:val="1"/>
        </w:numPr>
        <w:spacing w:before="0" w:beforeAutospacing="0" w:after="0" w:afterAutospacing="0" w:line="360" w:lineRule="auto"/>
        <w:ind w:left="720"/>
        <w:jc w:val="both"/>
        <w:textAlignment w:val="baseline"/>
        <w:rPr>
          <w:rFonts w:ascii="Bookman Old Style" w:hAnsi="Bookman Old Style"/>
          <w:color w:val="000000"/>
        </w:rPr>
      </w:pPr>
      <w:r>
        <w:rPr>
          <w:rFonts w:ascii="Bookman Old Style" w:hAnsi="Bookman Old Style"/>
          <w:color w:val="000000"/>
        </w:rPr>
        <w:t>Pemahaman dan Pengetahuan Mahasiswa tentang Musyawarah</w:t>
      </w:r>
    </w:p>
    <w:p w14:paraId="43BDB44D" w14:textId="77777777" w:rsidR="00AB0DD2" w:rsidRPr="00101E16" w:rsidRDefault="00632330" w:rsidP="00101E16">
      <w:pPr>
        <w:pStyle w:val="NormalWeb"/>
        <w:spacing w:before="0" w:beforeAutospacing="0" w:after="0" w:afterAutospacing="0" w:line="360" w:lineRule="auto"/>
        <w:ind w:left="720" w:firstLine="720"/>
        <w:jc w:val="both"/>
        <w:rPr>
          <w:rFonts w:ascii="Bookman Old Style" w:hAnsi="Bookman Old Style"/>
          <w:color w:val="000000"/>
        </w:rPr>
      </w:pPr>
      <w:r>
        <w:rPr>
          <w:rFonts w:ascii="Bookman Old Style" w:hAnsi="Bookman Old Style"/>
          <w:color w:val="000000"/>
        </w:rPr>
        <w:t>Berdasarkan data kuesioner yang telah diolah  terlihat bahwa pemahaman konseptual mahasiswa terhadap musyawarah sangat tinggi. Sebanyak 93,8% responden menyatakan memahami prinsip-prinsip dasar musyawarah, dan 96,9% mengetahui bagaimana musyawarah dilakukan dalam penyelesaian konflik. Data ini mengindikasikan hampir semua orang relevan mengenai aspek kognitif dari musyawarah. Tingkat pemahaman yang tinggi ini menunjukkan keberhasilan institusi pendidikan, baik pada tingkat universitas maupun fakultas, dalam mentransfer nilai-nilai kewarganegaraan dan budaya lokal. Tidak hanya berfungsi sebagai mekanisme yang bersifat prosedural, tetapi juga sebagai suatu etos dalam menyelesaikan masalah yang memprioritaskan dialog dan mencapai kesepakatan bersama (Revitalisasi Nilai-nilai Pancasila di Era Milenial, 2018). Konsep musyawarah menekankan pada pencapaian mufakat melalui proses pertukaran pikiran yang dipandang lebih dewasa dan adil dibandingkan metode penyelesaian konflik lainnya. Hasil wawancara turut memperkaya data ini, dimana narasumber secara eksplisit menyatakan bahwa musyawarah adalah "cara paling dewasa dalam menyelesaikan konflik" dan mampu "menghasilkan solusi yang adil bagi semua pihak yang terlibat". Secara teoretis, data ini menunjukkan bahwa mahasiswa memiliki modal sosial berupa pengetahuan yang kokoh untuk menumbuhkan budaya musyawarah. Meski demikian, hambatan utamanya adalah bagaimana mengalihkan tingkat pemahaman yang tinggi tersebut menjadi praktik nyata. Hal ini menunjukkan adanya gap antara pengetahuan dan praktik nyata, yang dapat dipengaruhi oleh minimnya kesempatan atau kondisi konflik yang tidak memerlukan keterlibatan mereka.</w:t>
      </w:r>
    </w:p>
    <w:p w14:paraId="5FBAC27D" w14:textId="77777777" w:rsidR="00632330" w:rsidRDefault="00632330" w:rsidP="00101E16">
      <w:pPr>
        <w:pStyle w:val="NormalWeb"/>
        <w:numPr>
          <w:ilvl w:val="1"/>
          <w:numId w:val="1"/>
        </w:numPr>
        <w:spacing w:before="0" w:beforeAutospacing="0" w:after="0" w:afterAutospacing="0" w:line="360" w:lineRule="auto"/>
        <w:ind w:left="720"/>
        <w:jc w:val="both"/>
        <w:textAlignment w:val="baseline"/>
        <w:rPr>
          <w:rFonts w:ascii="Bookman Old Style" w:hAnsi="Bookman Old Style"/>
          <w:color w:val="000000"/>
        </w:rPr>
      </w:pPr>
      <w:r>
        <w:rPr>
          <w:rFonts w:ascii="Bookman Old Style" w:hAnsi="Bookman Old Style"/>
          <w:color w:val="000000"/>
        </w:rPr>
        <w:t>Pengalaman Partisipasi dan Kepercayaan Diri</w:t>
      </w:r>
    </w:p>
    <w:p w14:paraId="1AC4316B" w14:textId="77777777" w:rsidR="00AB0DD2" w:rsidRDefault="00632330" w:rsidP="00101E16">
      <w:pPr>
        <w:pStyle w:val="NormalWeb"/>
        <w:spacing w:before="0" w:beforeAutospacing="0" w:after="0" w:afterAutospacing="0" w:line="360" w:lineRule="auto"/>
        <w:ind w:left="720" w:firstLine="720"/>
        <w:jc w:val="both"/>
        <w:rPr>
          <w:color w:val="000000"/>
        </w:rPr>
      </w:pPr>
      <w:r>
        <w:rPr>
          <w:rFonts w:ascii="Bookman Old Style" w:hAnsi="Bookman Old Style"/>
          <w:color w:val="000000"/>
        </w:rPr>
        <w:t xml:space="preserve">Meskipun pemahaman mahasiswa tinggi, tingkat kepercayaan diri untuk berpartisipasi dalam musyawarah cenderung sedang. Sebanyak 50% mahasiswa netral atau tidak memiliki keyakinan kuat untuk terlibat </w:t>
      </w:r>
      <w:r>
        <w:rPr>
          <w:rFonts w:ascii="Bookman Old Style" w:hAnsi="Bookman Old Style"/>
          <w:color w:val="000000"/>
        </w:rPr>
        <w:lastRenderedPageBreak/>
        <w:t>aktif. Kondisi ini dapat disebabkan oleh kurangnya pengalaman langsung, sesuai dengan temuan bahwa hanya sebagian mahasiswa yang pernah terlibat dalam musyawarah.</w:t>
      </w:r>
    </w:p>
    <w:p w14:paraId="73A8A0F2" w14:textId="77777777" w:rsidR="00632330" w:rsidRDefault="00632330" w:rsidP="00101E16">
      <w:pPr>
        <w:pStyle w:val="NormalWeb"/>
        <w:spacing w:before="0" w:beforeAutospacing="0" w:after="0" w:afterAutospacing="0" w:line="360" w:lineRule="auto"/>
        <w:ind w:left="720" w:firstLine="720"/>
        <w:jc w:val="both"/>
        <w:rPr>
          <w:color w:val="000000"/>
        </w:rPr>
      </w:pPr>
      <w:r>
        <w:rPr>
          <w:rFonts w:ascii="Bookman Old Style" w:hAnsi="Bookman Old Style"/>
          <w:color w:val="000000"/>
        </w:rPr>
        <w:t>Menurut kajian Lianto (2019) mengatakan tingkat kepercayaan diri seseorang bergantung pada pengalamannya. Teori ini disebut dengan self-efficacy theory yang merupakan konsep dari teori kognitif sosial Albert Bandura dari dalam. Hal ini sesuai dengan hasil penelitian dimana tingkat kepercayaan diri dalam bermusyawarah berkaitan erat dengan pengalaman interpersonal. Mahasiswa yang sering terlibat dalam diskusi kelompok dan aktivitas organisasi cenderung lebih percaya diri dalam mengemukakan pendapat dalam forum musyawarah. Dengan demikian, meskipun pemahaman kuat, kurangnya pengalaman praktis dapat menjadi faktor yang membatasi partisipasi.</w:t>
      </w:r>
    </w:p>
    <w:p w14:paraId="27336445" w14:textId="77777777" w:rsidR="00632330" w:rsidRDefault="00632330" w:rsidP="00101E16">
      <w:pPr>
        <w:pStyle w:val="NormalWeb"/>
        <w:numPr>
          <w:ilvl w:val="1"/>
          <w:numId w:val="1"/>
        </w:numPr>
        <w:spacing w:before="0" w:beforeAutospacing="0" w:after="0" w:afterAutospacing="0" w:line="360" w:lineRule="auto"/>
        <w:ind w:left="720"/>
        <w:jc w:val="both"/>
        <w:textAlignment w:val="baseline"/>
        <w:rPr>
          <w:rFonts w:ascii="Bookman Old Style" w:hAnsi="Bookman Old Style"/>
          <w:color w:val="000000"/>
        </w:rPr>
      </w:pPr>
      <w:r>
        <w:rPr>
          <w:rFonts w:ascii="Bookman Old Style" w:hAnsi="Bookman Old Style"/>
          <w:color w:val="000000"/>
        </w:rPr>
        <w:t>Perserpsi Terhadap Manfaat Musyawarah</w:t>
      </w:r>
    </w:p>
    <w:p w14:paraId="799A6462" w14:textId="77777777" w:rsidR="00AB0DD2" w:rsidRDefault="00632330" w:rsidP="00101E16">
      <w:pPr>
        <w:pStyle w:val="NormalWeb"/>
        <w:spacing w:before="0" w:beforeAutospacing="0" w:after="0" w:afterAutospacing="0" w:line="360" w:lineRule="auto"/>
        <w:ind w:left="720" w:firstLine="720"/>
        <w:jc w:val="both"/>
        <w:rPr>
          <w:color w:val="000000"/>
        </w:rPr>
      </w:pPr>
      <w:r>
        <w:rPr>
          <w:rFonts w:ascii="Bookman Old Style" w:hAnsi="Bookman Old Style"/>
          <w:color w:val="000000"/>
        </w:rPr>
        <w:t>Hasil penelitian menunjukkan bahwa mahasiswa memiliki persepsi yang sangat positif terhadap manfaat musyawarah. Mayoritas responden menyatakan bahwa musyawarah mampu menghasilkan solusi adil (96,9%), mengidentifikasi akar konflik (90,7%), menciptakan rasa saling pengertian (87,6%), dan mengurangi konflik di masa depan (84,4%).</w:t>
      </w:r>
    </w:p>
    <w:p w14:paraId="330A0215" w14:textId="77777777" w:rsidR="00632330" w:rsidRDefault="00632330" w:rsidP="00101E16">
      <w:pPr>
        <w:pStyle w:val="NormalWeb"/>
        <w:spacing w:before="0" w:beforeAutospacing="0" w:after="0" w:afterAutospacing="0" w:line="360" w:lineRule="auto"/>
        <w:ind w:left="720" w:firstLine="720"/>
        <w:jc w:val="both"/>
        <w:rPr>
          <w:color w:val="000000"/>
        </w:rPr>
      </w:pPr>
      <w:r>
        <w:rPr>
          <w:rFonts w:ascii="Bookman Old Style" w:hAnsi="Bookman Old Style"/>
          <w:color w:val="000000"/>
        </w:rPr>
        <w:t>Studi oleh Lailatul (2020) menunjukkan bahwa musyawarah dapat melapangkan dada untuk menerima kesalahan dan memberi maaf serta menciptakan stabilitas emosi. Hal ini akan mengurangi risiko konflik di masa depan. Walaupun demikian, persepsi terhadap musyawarah sebagai metode yang lebih baik daripada jalur hukum atau kekerasan memiliki sedikit variasi. Sekitar 9,4% responden tidak setuju. Hal ini wajar karena tidak semua jenis konflik dapat diselesaikan semata-mata melalui musyawarah, terutama konflik hukum atau pelanggaran berat.</w:t>
      </w:r>
    </w:p>
    <w:p w14:paraId="21FEAA7C" w14:textId="77777777" w:rsidR="00632330" w:rsidRDefault="00632330" w:rsidP="00101E16">
      <w:pPr>
        <w:pStyle w:val="NormalWeb"/>
        <w:numPr>
          <w:ilvl w:val="0"/>
          <w:numId w:val="1"/>
        </w:numPr>
        <w:spacing w:before="0" w:beforeAutospacing="0" w:after="0" w:afterAutospacing="0" w:line="360" w:lineRule="auto"/>
        <w:ind w:left="426"/>
        <w:jc w:val="both"/>
        <w:textAlignment w:val="baseline"/>
        <w:rPr>
          <w:rFonts w:ascii="Bookman Old Style" w:hAnsi="Bookman Old Style"/>
          <w:color w:val="000000"/>
        </w:rPr>
      </w:pPr>
      <w:r>
        <w:rPr>
          <w:rFonts w:ascii="Bookman Old Style" w:hAnsi="Bookman Old Style"/>
          <w:color w:val="000000"/>
        </w:rPr>
        <w:t>Faktor yang Memengaruhi Mahasiswa dalam Menerapkan Prinsip Musyawarah</w:t>
      </w:r>
    </w:p>
    <w:p w14:paraId="41DF1C22" w14:textId="77777777" w:rsidR="00632330" w:rsidRDefault="00632330" w:rsidP="00101E16">
      <w:pPr>
        <w:pStyle w:val="NormalWeb"/>
        <w:numPr>
          <w:ilvl w:val="1"/>
          <w:numId w:val="17"/>
        </w:numPr>
        <w:spacing w:before="0" w:beforeAutospacing="0" w:after="0" w:afterAutospacing="0" w:line="360" w:lineRule="auto"/>
        <w:jc w:val="both"/>
        <w:textAlignment w:val="baseline"/>
        <w:rPr>
          <w:rFonts w:ascii="Bookman Old Style" w:hAnsi="Bookman Old Style"/>
          <w:color w:val="000000"/>
        </w:rPr>
      </w:pPr>
      <w:r>
        <w:rPr>
          <w:rFonts w:ascii="Bookman Old Style" w:hAnsi="Bookman Old Style"/>
          <w:color w:val="000000"/>
        </w:rPr>
        <w:t>Dukungan Lingkungan Kampus (Eksternal)</w:t>
      </w:r>
    </w:p>
    <w:p w14:paraId="274709F6" w14:textId="77777777" w:rsidR="00AB0DD2" w:rsidRDefault="00632330" w:rsidP="00101E16">
      <w:pPr>
        <w:pStyle w:val="NormalWeb"/>
        <w:spacing w:before="0" w:beforeAutospacing="0" w:after="0" w:afterAutospacing="0" w:line="360" w:lineRule="auto"/>
        <w:ind w:left="1021" w:firstLine="720"/>
        <w:jc w:val="both"/>
        <w:rPr>
          <w:color w:val="000000"/>
        </w:rPr>
      </w:pPr>
      <w:r>
        <w:rPr>
          <w:rFonts w:ascii="Bookman Old Style" w:hAnsi="Bookman Old Style"/>
          <w:color w:val="000000"/>
        </w:rPr>
        <w:t xml:space="preserve">Dukungan kampus terhadap pelaksanaan musyawarah dinilai cukup positif tetapi belum maksimal. Pada aspek fasilitas kampus untuk musyawarah, hanya 53,2% responden yang setuju, sementara </w:t>
      </w:r>
      <w:r>
        <w:rPr>
          <w:rFonts w:ascii="Bookman Old Style" w:hAnsi="Bookman Old Style"/>
          <w:color w:val="000000"/>
        </w:rPr>
        <w:lastRenderedPageBreak/>
        <w:t>40,6% merasa netral. Hal ini menunjukkan bahwa mahasiswa belum sepenuhnya merasakan ketersediaan fasilitas fisik maupun ruang dialog formal yang mendukung kegiatan musyawarah di kampus.</w:t>
      </w:r>
    </w:p>
    <w:p w14:paraId="6B55F263" w14:textId="77777777" w:rsidR="00AB0DD2" w:rsidRDefault="00632330" w:rsidP="00101E16">
      <w:pPr>
        <w:pStyle w:val="NormalWeb"/>
        <w:spacing w:before="0" w:beforeAutospacing="0" w:after="0" w:afterAutospacing="0" w:line="360" w:lineRule="auto"/>
        <w:ind w:left="1021" w:firstLine="720"/>
        <w:jc w:val="both"/>
        <w:rPr>
          <w:color w:val="000000"/>
        </w:rPr>
      </w:pPr>
      <w:r>
        <w:rPr>
          <w:rFonts w:ascii="Bookman Old Style" w:hAnsi="Bookman Old Style"/>
          <w:color w:val="000000"/>
        </w:rPr>
        <w:t>Namun, dukungan dari pihak kampus seperti dosen dan staf tergolong baik, dengan 65,6% menyatakan setuju dan 25% sangat setuju. Ini menunjukkan bahwa secara normatif, lingkungan kampus mendorong penyelesaian konflik secara musyawarah. Menurut literatur Rohman (2021), dukungan institusional adalah faktor penting yang memperkuat budaya musyawarah dalam komunitas pendidikan.</w:t>
      </w:r>
    </w:p>
    <w:p w14:paraId="5B40BFDE" w14:textId="77777777" w:rsidR="00632330" w:rsidRDefault="00632330" w:rsidP="00101E16">
      <w:pPr>
        <w:pStyle w:val="NormalWeb"/>
        <w:spacing w:before="0" w:beforeAutospacing="0" w:after="0" w:afterAutospacing="0" w:line="360" w:lineRule="auto"/>
        <w:ind w:left="1021" w:firstLine="720"/>
        <w:jc w:val="both"/>
        <w:rPr>
          <w:color w:val="000000"/>
        </w:rPr>
      </w:pPr>
      <w:r>
        <w:rPr>
          <w:rFonts w:ascii="Bookman Old Style" w:hAnsi="Bookman Old Style"/>
          <w:color w:val="000000"/>
        </w:rPr>
        <w:t>Kepercayaan mahasiswa terhadap proses musyawarah di kampus juga cukup tinggi (59,4% setuju atau sangat setuju), meskipun 37,5% masih bersikap netral. Ketidakpastian ini mengindikasikan bahwa sebagian mahasiswa mungkin belum memiliki pengalaman langsung atau belum melihat secara konkret bagaimana musyawarah dijalankan secara adil dan aman.</w:t>
      </w:r>
    </w:p>
    <w:p w14:paraId="5E0D83E2" w14:textId="77777777" w:rsidR="00632330" w:rsidRDefault="00632330" w:rsidP="00101E16">
      <w:pPr>
        <w:pStyle w:val="NormalWeb"/>
        <w:numPr>
          <w:ilvl w:val="1"/>
          <w:numId w:val="17"/>
        </w:numPr>
        <w:spacing w:before="0" w:beforeAutospacing="0" w:after="0" w:afterAutospacing="0" w:line="360" w:lineRule="auto"/>
        <w:jc w:val="both"/>
        <w:textAlignment w:val="baseline"/>
        <w:rPr>
          <w:rFonts w:ascii="Bookman Old Style" w:hAnsi="Bookman Old Style"/>
          <w:color w:val="000000"/>
        </w:rPr>
      </w:pPr>
      <w:r>
        <w:rPr>
          <w:rFonts w:ascii="Bookman Old Style" w:hAnsi="Bookman Old Style"/>
          <w:color w:val="000000"/>
        </w:rPr>
        <w:t>Sikap dan Minat Mahasiswa (Internal)</w:t>
      </w:r>
    </w:p>
    <w:p w14:paraId="478965F2" w14:textId="77777777" w:rsidR="00AB0DD2" w:rsidRDefault="00632330" w:rsidP="00101E16">
      <w:pPr>
        <w:pStyle w:val="NormalWeb"/>
        <w:spacing w:before="0" w:beforeAutospacing="0" w:after="0" w:afterAutospacing="0" w:line="360" w:lineRule="auto"/>
        <w:ind w:left="1021" w:firstLine="720"/>
        <w:jc w:val="both"/>
        <w:rPr>
          <w:color w:val="000000"/>
        </w:rPr>
      </w:pPr>
      <w:r>
        <w:rPr>
          <w:rFonts w:ascii="Bookman Old Style" w:hAnsi="Bookman Old Style"/>
          <w:color w:val="000000"/>
        </w:rPr>
        <w:t>Dukungan kampus terhadap pelaksanaan musyawarah dinilai cukup positif tetapi belum maksimal. Pada aspek fasilitas kampus untuk musyawarah, hanya 53,2% responden yang setuju, sementara 40,6% merasa netral. Hal ini menunjukkan bahwa mahasiswa belum sepenuhnya merasakan ketersediaan fasilitas fisik maupun ruang dialog formal yang mendukung kegiatan musyawarah di kampus.</w:t>
      </w:r>
    </w:p>
    <w:p w14:paraId="7D18BD84" w14:textId="77777777" w:rsidR="00AB0DD2" w:rsidRDefault="00632330" w:rsidP="00101E16">
      <w:pPr>
        <w:pStyle w:val="NormalWeb"/>
        <w:spacing w:before="0" w:beforeAutospacing="0" w:after="0" w:afterAutospacing="0" w:line="360" w:lineRule="auto"/>
        <w:ind w:left="1021" w:firstLine="720"/>
        <w:jc w:val="both"/>
        <w:rPr>
          <w:color w:val="000000"/>
        </w:rPr>
      </w:pPr>
      <w:r>
        <w:rPr>
          <w:rFonts w:ascii="Bookman Old Style" w:hAnsi="Bookman Old Style"/>
          <w:color w:val="000000"/>
        </w:rPr>
        <w:t>Namun, dukungan dari pihak kampus seperti dosen dan staf tergolong baik, dengan 65,6% menyatakan setuju dan 25% sangat setuju. Ini menunjukkan bahwa secara normatif, lingkungan kampus mendorong penyelesaian konflik secara musyawarah. Menurut literatur Rohman (2021), dukungan institusional adalah faktor penting yang memperkuat budaya musyawarah dalam komunitas pendidikan.</w:t>
      </w:r>
    </w:p>
    <w:p w14:paraId="392B7188" w14:textId="77777777" w:rsidR="00632330" w:rsidRDefault="00632330" w:rsidP="00101E16">
      <w:pPr>
        <w:pStyle w:val="NormalWeb"/>
        <w:spacing w:before="0" w:beforeAutospacing="0" w:after="0" w:afterAutospacing="0" w:line="360" w:lineRule="auto"/>
        <w:ind w:left="1021" w:firstLine="720"/>
        <w:jc w:val="both"/>
        <w:rPr>
          <w:color w:val="000000"/>
        </w:rPr>
      </w:pPr>
      <w:r>
        <w:rPr>
          <w:rFonts w:ascii="Bookman Old Style" w:hAnsi="Bookman Old Style"/>
          <w:color w:val="000000"/>
        </w:rPr>
        <w:t>Kepercayaan mahasiswa terhadap proses musyawarah di kampus juga cukup tinggi (59,4% setuju atau sangat setuju), meskipun 37,5% masih bersikap netral. Ketidakpastian ini mengindikasikan bahwa sebagian mahasiswa mungkin belum memiliki pengalaman langsung atau belum melihat secara konkret bagaimana musyawarah dijalankan secara adil dan aman.</w:t>
      </w:r>
    </w:p>
    <w:p w14:paraId="52AF3C8E" w14:textId="77777777" w:rsidR="00632330" w:rsidRDefault="00632330" w:rsidP="00101E16">
      <w:pPr>
        <w:pStyle w:val="NormalWeb"/>
        <w:numPr>
          <w:ilvl w:val="0"/>
          <w:numId w:val="1"/>
        </w:numPr>
        <w:spacing w:before="0" w:beforeAutospacing="0" w:after="0" w:afterAutospacing="0" w:line="360" w:lineRule="auto"/>
        <w:ind w:left="426"/>
        <w:jc w:val="both"/>
        <w:textAlignment w:val="baseline"/>
        <w:rPr>
          <w:rFonts w:ascii="Bookman Old Style" w:hAnsi="Bookman Old Style"/>
          <w:color w:val="000000"/>
        </w:rPr>
      </w:pPr>
      <w:r>
        <w:rPr>
          <w:rFonts w:ascii="Bookman Old Style" w:hAnsi="Bookman Old Style"/>
          <w:color w:val="000000"/>
        </w:rPr>
        <w:lastRenderedPageBreak/>
        <w:t>Bentuk Pelaksanaan Musyawarah yang Dilakukan</w:t>
      </w:r>
    </w:p>
    <w:p w14:paraId="27B2FEBC" w14:textId="77777777" w:rsidR="00101E16" w:rsidRPr="00101E16" w:rsidRDefault="00632330" w:rsidP="00101E16">
      <w:pPr>
        <w:pStyle w:val="NormalWeb"/>
        <w:spacing w:before="0" w:beforeAutospacing="0" w:after="0" w:afterAutospacing="0" w:line="360" w:lineRule="auto"/>
        <w:ind w:left="426" w:firstLine="720"/>
        <w:jc w:val="both"/>
        <w:rPr>
          <w:rFonts w:ascii="Bookman Old Style" w:hAnsi="Bookman Old Style"/>
          <w:color w:val="000000"/>
        </w:rPr>
      </w:pPr>
      <w:r>
        <w:rPr>
          <w:rFonts w:ascii="Bookman Old Style" w:hAnsi="Bookman Old Style"/>
          <w:color w:val="000000"/>
        </w:rPr>
        <w:t>Berdasarkan interpretasi data, bentuk pelaksanaan musyawarah di lingkungan kampus kemungkinan besar masih bersifat informal dan berbasis situasi. Dukungan pihak kampus dan tingginya minat mahasiswa memberikan indikasi bahwa musyawarah sering terjadi pada tingkat organisasi, kelompok belajar, atau antar individu. Namun, fasilitas yang belum terlalu dirasakan dan pengalaman yang beragam menunjukkan bahwa forum musyawarah formal mungkin belum terstruktur secara optimal.</w:t>
      </w:r>
    </w:p>
    <w:p w14:paraId="18E34266" w14:textId="77777777" w:rsidR="00632330" w:rsidRDefault="00632330" w:rsidP="00101E16">
      <w:pPr>
        <w:spacing w:line="360" w:lineRule="auto"/>
        <w:rPr>
          <w:color w:val="000000"/>
        </w:rPr>
      </w:pPr>
    </w:p>
    <w:p w14:paraId="6176FD33" w14:textId="77777777" w:rsidR="00632330" w:rsidRDefault="00632330" w:rsidP="00101E16">
      <w:pPr>
        <w:pStyle w:val="NormalWeb"/>
        <w:spacing w:before="0" w:beforeAutospacing="0" w:after="0" w:afterAutospacing="0" w:line="360" w:lineRule="auto"/>
        <w:jc w:val="center"/>
        <w:rPr>
          <w:color w:val="000000"/>
        </w:rPr>
      </w:pPr>
      <w:r>
        <w:rPr>
          <w:rFonts w:ascii="Bookman Old Style" w:hAnsi="Bookman Old Style"/>
          <w:b/>
          <w:bCs/>
          <w:color w:val="000000"/>
        </w:rPr>
        <w:t>KESIMPULAN</w:t>
      </w:r>
    </w:p>
    <w:p w14:paraId="2CDC6592" w14:textId="77777777" w:rsidR="00632330" w:rsidRDefault="00632330" w:rsidP="00101E16">
      <w:pPr>
        <w:pStyle w:val="NormalWeb"/>
        <w:spacing w:before="0" w:beforeAutospacing="0" w:after="0" w:afterAutospacing="0" w:line="360" w:lineRule="auto"/>
        <w:ind w:firstLine="720"/>
        <w:jc w:val="both"/>
        <w:rPr>
          <w:color w:val="000000"/>
        </w:rPr>
      </w:pPr>
      <w:r>
        <w:rPr>
          <w:rFonts w:ascii="Bookman Old Style" w:hAnsi="Bookman Old Style"/>
          <w:color w:val="000000"/>
        </w:rPr>
        <w:t>Penelitian ini menunjukkan bahwa mahasiswa Universitas Andalas memiliki pemahaman dan sikap yang sangat positif terhadap musyawarah sebagai cara penyelesaian konflik. Mayoritas memahami prinsip-prinsip musyawarah, menilai manfaatnya secara kuat, serta menunjukkan minat tinggi untuk terlibat di dalamnya. Dukungan kampus dinilai cukup baik meskipun fasilitas belum optimal, dan pelaksanaan musyawarah cenderung informal. Secara keseluruhan, musyawarah berpotensi menjadi metode utama penyelesaian konflik di kampus apabila pengalaman praktik dan sarana pendukung lebih ditingkatkan.</w:t>
      </w:r>
    </w:p>
    <w:p w14:paraId="1E3155ED" w14:textId="77777777" w:rsidR="00DC5261" w:rsidRDefault="00DC5261" w:rsidP="003E400D">
      <w:pPr>
        <w:spacing w:line="360" w:lineRule="auto"/>
        <w:rPr>
          <w:rFonts w:ascii="Bookman Old Style" w:eastAsia="Bookman Old Style" w:hAnsi="Bookman Old Style" w:cs="Bookman Old Style"/>
        </w:rPr>
      </w:pPr>
    </w:p>
    <w:p w14:paraId="65BA2E4D" w14:textId="77777777" w:rsidR="00DC5261" w:rsidRDefault="00000000">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t>REFERENSI</w:t>
      </w:r>
      <w:r>
        <w:rPr>
          <w:rFonts w:ascii="Bookman Old Style" w:eastAsia="Bookman Old Style" w:hAnsi="Bookman Old Style" w:cs="Bookman Old Style"/>
          <w:b/>
          <w:vertAlign w:val="superscript"/>
        </w:rPr>
        <w:t xml:space="preserve"> </w:t>
      </w:r>
      <w:r>
        <w:rPr>
          <w:rFonts w:ascii="Bookman Old Style" w:eastAsia="Bookman Old Style" w:hAnsi="Bookman Old Style" w:cs="Bookman Old Style"/>
          <w:b/>
        </w:rPr>
        <w:t xml:space="preserve"> </w:t>
      </w:r>
    </w:p>
    <w:p w14:paraId="328F2B92" w14:textId="77777777"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t>Departemen Agama Republik Indonesia. (2019). Al-Qur’an dan Terjemahannya.</w:t>
      </w:r>
      <w:r>
        <w:rPr>
          <w:rFonts w:ascii="Bookman Old Style" w:hAnsi="Bookman Old Style"/>
          <w:color w:val="000000"/>
          <w:lang w:val="en-US"/>
        </w:rPr>
        <w:t xml:space="preserve"> </w:t>
      </w:r>
      <w:r>
        <w:rPr>
          <w:rFonts w:ascii="Bookman Old Style" w:hAnsi="Bookman Old Style"/>
          <w:color w:val="000000"/>
        </w:rPr>
        <w:t>Jakarta: Lajnah Pentashihan Mushaf Al-Qur’an, Badan Litbang dan Diklat Kementerian Agama RI.</w:t>
      </w:r>
    </w:p>
    <w:p w14:paraId="39875396" w14:textId="77777777"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t>Quraish Shihab, M. (2002). Tafsir Al-Mishbah: Pesan, Kesan, dan Keserasian Al-Qur’an. Jakarta: Lentera Hati.</w:t>
      </w:r>
    </w:p>
    <w:p w14:paraId="179E6947" w14:textId="77777777"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t>Shihab, M. Q. (1996). Wawasan Al-Qur’an: Tafsir Maudhu’i atas Pelbagai Persoalan Umat. Bandung: Mizan.</w:t>
      </w:r>
    </w:p>
    <w:p w14:paraId="33397CB8" w14:textId="77777777"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t>Al-Maraghi, Ahmad Musthafa. (1992). Tafsir Al-Maraghi. Beirut: Dar al-Fikr.</w:t>
      </w:r>
    </w:p>
    <w:p w14:paraId="3F7273F6" w14:textId="77777777"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t>Hamka. (1982). Tafsir Al-Azhar. Jakarta: Pustaka Panjimas.</w:t>
      </w:r>
    </w:p>
    <w:p w14:paraId="24D78B65" w14:textId="77777777"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t>Soekanto, Soerjono. (2012). Sosiologi Suatu Pengantar. Jakarta: RajaGrafindo Persada.</w:t>
      </w:r>
    </w:p>
    <w:p w14:paraId="7C0B7229" w14:textId="77777777"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lastRenderedPageBreak/>
        <w:t>Wirawan. (2010). Konflik dan Manajemen Konflik: Teori, Aplikasi, dan Penelitian. Jakarta: Salemba Humanika.</w:t>
      </w:r>
    </w:p>
    <w:p w14:paraId="5E27923E" w14:textId="77777777"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t>Coser, Lewis A. (1956). The Functions of Social Conflict. New York: The Free Press.</w:t>
      </w:r>
    </w:p>
    <w:p w14:paraId="2F223E66" w14:textId="77777777"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t>Robbins, Stephen P. (2003). Organizational Behavior. New Jersey: Prentice Hall.</w:t>
      </w:r>
    </w:p>
    <w:p w14:paraId="4FC09BC8" w14:textId="77777777"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t>Program, M., Syariah, D. E., Sunan, U., &amp; Surabaya, A. (n.d.). MUSYAWARAH DALAM PERSPEKTIF EKONOMI ISLAM.</w:t>
      </w:r>
    </w:p>
    <w:p w14:paraId="2B25217F" w14:textId="77777777"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t>Aspirasi Konstitusi, M. (n.d.). Revitalisasi Nilai-Nilai Pancasila Di Era Milenial JURNAL MAJELIS.</w:t>
      </w:r>
    </w:p>
    <w:p w14:paraId="4A82D6CF" w14:textId="77777777"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t xml:space="preserve">Lianto, L. (2019). Self-Efficacy: A Brief Literature Review. Jurnal Manajemen Motivasi, 15(2), 55. </w:t>
      </w:r>
      <w:hyperlink r:id="rId14" w:history="1">
        <w:r>
          <w:rPr>
            <w:rStyle w:val="Hyperlink"/>
            <w:rFonts w:ascii="Bookman Old Style" w:hAnsi="Bookman Old Style"/>
            <w:color w:val="0563C1"/>
          </w:rPr>
          <w:t>https://doi.org/10.29406/jmm.v15i2.1409</w:t>
        </w:r>
      </w:hyperlink>
    </w:p>
    <w:p w14:paraId="18779C97" w14:textId="77777777"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t xml:space="preserve">Elfira Sari, N., Nurliana, V., Marsaulina Manullang, B., Novry Lianty, D., Prayogi, S., &amp; Rizky Dwi Ardana, M. (n.d.). Persepsi Mahasiswa Terhadap Peran Sila Keempat Pancasila dalam Budaya Demokrasi di Kampus Student Perceptions of the Role of the Fourth Principle of Pancasila in Campus Democratic Culture. </w:t>
      </w:r>
      <w:hyperlink r:id="rId15" w:history="1">
        <w:r>
          <w:rPr>
            <w:rStyle w:val="Hyperlink"/>
            <w:rFonts w:ascii="Bookman Old Style" w:hAnsi="Bookman Old Style"/>
            <w:color w:val="0563C1"/>
          </w:rPr>
          <w:t>https://jicnusantara.com/index.php/jiic</w:t>
        </w:r>
      </w:hyperlink>
      <w:r>
        <w:rPr>
          <w:color w:val="000000"/>
          <w:lang w:val="en-US"/>
        </w:rPr>
        <w:t xml:space="preserve"> </w:t>
      </w:r>
      <w:r>
        <w:rPr>
          <w:rFonts w:ascii="Bookman Old Style" w:hAnsi="Bookman Old Style"/>
          <w:color w:val="000000"/>
        </w:rPr>
        <w:t>garuda3300819_copy. (n.d.).</w:t>
      </w:r>
    </w:p>
    <w:p w14:paraId="3FBF1B15" w14:textId="5891F186" w:rsidR="00101E16" w:rsidRDefault="00101E16" w:rsidP="00855464">
      <w:pPr>
        <w:pStyle w:val="NormalWeb"/>
        <w:spacing w:before="0" w:beforeAutospacing="0" w:after="0" w:afterAutospacing="0" w:line="360" w:lineRule="auto"/>
        <w:ind w:left="567" w:hanging="567"/>
        <w:jc w:val="both"/>
        <w:rPr>
          <w:color w:val="000000"/>
        </w:rPr>
      </w:pPr>
      <w:r>
        <w:rPr>
          <w:rFonts w:ascii="Bookman Old Style" w:hAnsi="Bookman Old Style"/>
          <w:color w:val="000000"/>
        </w:rPr>
        <w:t xml:space="preserve">Ardi, S. (n.d.). KOMUNIKASI INTERPERSONAL ANTAR ETNIS (Studi Kasus Komunikasi Antar Personal Etnis Nias, Mentawai, dan Minang di Kampus Universitas Ekasakti). </w:t>
      </w:r>
      <w:hyperlink r:id="rId16" w:history="1">
        <w:r w:rsidR="00855464" w:rsidRPr="0025730F">
          <w:rPr>
            <w:rStyle w:val="Hyperlink"/>
            <w:rFonts w:ascii="Bookman Old Style" w:hAnsi="Bookman Old Style"/>
          </w:rPr>
          <w:t>https://doi.org/10.31933/unesrev.v5i1</w:t>
        </w:r>
      </w:hyperlink>
      <w:r w:rsidR="00855464">
        <w:rPr>
          <w:rFonts w:ascii="Bookman Old Style" w:hAnsi="Bookman Old Style"/>
          <w:color w:val="000000"/>
        </w:rPr>
        <w:t xml:space="preserve"> </w:t>
      </w:r>
    </w:p>
    <w:p w14:paraId="217EC062" w14:textId="77777777" w:rsidR="00DC5261" w:rsidRDefault="00DC5261">
      <w:pPr>
        <w:spacing w:line="360" w:lineRule="auto"/>
        <w:jc w:val="center"/>
        <w:rPr>
          <w:rFonts w:ascii="Bookman Old Style" w:eastAsia="Bookman Old Style" w:hAnsi="Bookman Old Style" w:cs="Bookman Old Style"/>
          <w:b/>
        </w:rPr>
      </w:pPr>
    </w:p>
    <w:sectPr w:rsidR="00DC5261">
      <w:pgSz w:w="11907" w:h="16840"/>
      <w:pgMar w:top="993" w:right="1134"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0252"/>
    <w:multiLevelType w:val="multilevel"/>
    <w:tmpl w:val="D0B08A98"/>
    <w:styleLink w:val="DaftarSaatini2"/>
    <w:lvl w:ilvl="0">
      <w:start w:val="1"/>
      <w:numFmt w:val="decimal"/>
      <w:lvlText w:val="%1."/>
      <w:lvlJc w:val="left"/>
      <w:pPr>
        <w:ind w:left="360" w:hanging="360"/>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123C30"/>
    <w:multiLevelType w:val="multilevel"/>
    <w:tmpl w:val="0421001F"/>
    <w:styleLink w:val="DaftarSaatini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0A215C"/>
    <w:multiLevelType w:val="multilevel"/>
    <w:tmpl w:val="E56A9EE2"/>
    <w:lvl w:ilvl="0">
      <w:start w:val="1"/>
      <w:numFmt w:val="decimal"/>
      <w:lvlText w:val="%1."/>
      <w:lvlJc w:val="left"/>
      <w:pPr>
        <w:ind w:left="360" w:hanging="360"/>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C83A54"/>
    <w:multiLevelType w:val="multilevel"/>
    <w:tmpl w:val="E9C837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A5E0B"/>
    <w:multiLevelType w:val="multilevel"/>
    <w:tmpl w:val="E56A9EE2"/>
    <w:lvl w:ilvl="0">
      <w:start w:val="1"/>
      <w:numFmt w:val="decimal"/>
      <w:lvlText w:val="%1."/>
      <w:lvlJc w:val="left"/>
      <w:pPr>
        <w:ind w:left="360" w:hanging="360"/>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1C4734"/>
    <w:multiLevelType w:val="multilevel"/>
    <w:tmpl w:val="7AAEC2FE"/>
    <w:lvl w:ilvl="0">
      <w:start w:val="1"/>
      <w:numFmt w:val="decimal"/>
      <w:lvlText w:val="%1."/>
      <w:lvlJc w:val="left"/>
      <w:pPr>
        <w:ind w:left="360" w:hanging="360"/>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1453F3"/>
    <w:multiLevelType w:val="multilevel"/>
    <w:tmpl w:val="A5CAD086"/>
    <w:styleLink w:val="DaftarSaatini7"/>
    <w:lvl w:ilvl="0">
      <w:start w:val="1"/>
      <w:numFmt w:val="decimal"/>
      <w:lvlText w:val="%1."/>
      <w:lvlJc w:val="left"/>
      <w:pPr>
        <w:ind w:left="360" w:hanging="360"/>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A0599D"/>
    <w:multiLevelType w:val="multilevel"/>
    <w:tmpl w:val="60F87916"/>
    <w:styleLink w:val="DaftarSaatini8"/>
    <w:lvl w:ilvl="0">
      <w:start w:val="1"/>
      <w:numFmt w:val="decimal"/>
      <w:lvlText w:val="%1."/>
      <w:lvlJc w:val="left"/>
      <w:pPr>
        <w:ind w:left="360" w:hanging="360"/>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496027"/>
    <w:multiLevelType w:val="multilevel"/>
    <w:tmpl w:val="F7D08F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4E5EDE"/>
    <w:multiLevelType w:val="multilevel"/>
    <w:tmpl w:val="7196EEE4"/>
    <w:styleLink w:val="DaftarSaatini3"/>
    <w:lvl w:ilvl="0">
      <w:start w:val="1"/>
      <w:numFmt w:val="decimal"/>
      <w:lvlText w:val="%1."/>
      <w:lvlJc w:val="left"/>
      <w:pPr>
        <w:ind w:left="360" w:hanging="360"/>
      </w:pPr>
      <w:rPr>
        <w:rFonts w:hint="default"/>
      </w:rPr>
    </w:lvl>
    <w:lvl w:ilvl="1">
      <w:start w:val="1"/>
      <w:numFmt w:val="decimal"/>
      <w:lvlText w:val="%1.%2."/>
      <w:lvlJc w:val="left"/>
      <w:pPr>
        <w:ind w:left="73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AD39ED"/>
    <w:multiLevelType w:val="multilevel"/>
    <w:tmpl w:val="E80A83E4"/>
    <w:styleLink w:val="DaftarSaatini6"/>
    <w:lvl w:ilvl="0">
      <w:start w:val="1"/>
      <w:numFmt w:val="decimal"/>
      <w:lvlText w:val="%1."/>
      <w:lvlJc w:val="left"/>
      <w:pPr>
        <w:ind w:left="360" w:hanging="360"/>
      </w:pPr>
      <w:rPr>
        <w:rFonts w:hint="default"/>
      </w:rPr>
    </w:lvl>
    <w:lvl w:ilvl="1">
      <w:start w:val="1"/>
      <w:numFmt w:val="decimal"/>
      <w:lvlText w:val="%1.%2."/>
      <w:lvlJc w:val="left"/>
      <w:pPr>
        <w:ind w:left="964"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462CD9"/>
    <w:multiLevelType w:val="multilevel"/>
    <w:tmpl w:val="56323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B34261"/>
    <w:multiLevelType w:val="multilevel"/>
    <w:tmpl w:val="6C1274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616123"/>
    <w:multiLevelType w:val="multilevel"/>
    <w:tmpl w:val="A5CAD086"/>
    <w:styleLink w:val="DaftarSaatini5"/>
    <w:lvl w:ilvl="0">
      <w:start w:val="1"/>
      <w:numFmt w:val="decimal"/>
      <w:lvlText w:val="%1."/>
      <w:lvlJc w:val="left"/>
      <w:pPr>
        <w:ind w:left="360" w:hanging="360"/>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2A6177"/>
    <w:multiLevelType w:val="multilevel"/>
    <w:tmpl w:val="9806BEF4"/>
    <w:styleLink w:val="DaftarSaatini4"/>
    <w:lvl w:ilvl="0">
      <w:start w:val="1"/>
      <w:numFmt w:val="decimal"/>
      <w:lvlText w:val="%1."/>
      <w:lvlJc w:val="left"/>
      <w:pPr>
        <w:ind w:left="360" w:hanging="360"/>
      </w:pPr>
      <w:rPr>
        <w:rFonts w:hint="default"/>
      </w:rPr>
    </w:lvl>
    <w:lvl w:ilvl="1">
      <w:start w:val="1"/>
      <w:numFmt w:val="decimal"/>
      <w:lvlText w:val="%1.%2."/>
      <w:lvlJc w:val="left"/>
      <w:pPr>
        <w:ind w:left="737"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F81CBE"/>
    <w:multiLevelType w:val="multilevel"/>
    <w:tmpl w:val="97B6B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4736768">
    <w:abstractNumId w:val="2"/>
  </w:num>
  <w:num w:numId="2" w16cid:durableId="1085498406">
    <w:abstractNumId w:val="8"/>
    <w:lvlOverride w:ilvl="0">
      <w:lvl w:ilvl="0">
        <w:numFmt w:val="decimal"/>
        <w:lvlText w:val="%1."/>
        <w:lvlJc w:val="left"/>
      </w:lvl>
    </w:lvlOverride>
  </w:num>
  <w:num w:numId="3" w16cid:durableId="714816502">
    <w:abstractNumId w:val="11"/>
    <w:lvlOverride w:ilvl="0">
      <w:lvl w:ilvl="0">
        <w:numFmt w:val="decimal"/>
        <w:lvlText w:val="%1."/>
        <w:lvlJc w:val="left"/>
      </w:lvl>
    </w:lvlOverride>
  </w:num>
  <w:num w:numId="4" w16cid:durableId="1781100398">
    <w:abstractNumId w:val="3"/>
  </w:num>
  <w:num w:numId="5" w16cid:durableId="877083417">
    <w:abstractNumId w:val="3"/>
    <w:lvlOverride w:ilvl="0">
      <w:lvl w:ilvl="0">
        <w:numFmt w:val="decimal"/>
        <w:lvlText w:val="%1."/>
        <w:lvlJc w:val="left"/>
      </w:lvl>
    </w:lvlOverride>
  </w:num>
  <w:num w:numId="6" w16cid:durableId="699666547">
    <w:abstractNumId w:val="15"/>
    <w:lvlOverride w:ilvl="0">
      <w:lvl w:ilvl="0">
        <w:numFmt w:val="decimal"/>
        <w:lvlText w:val="%1."/>
        <w:lvlJc w:val="left"/>
      </w:lvl>
    </w:lvlOverride>
  </w:num>
  <w:num w:numId="7" w16cid:durableId="2055765092">
    <w:abstractNumId w:val="12"/>
    <w:lvlOverride w:ilvl="0">
      <w:lvl w:ilvl="0">
        <w:numFmt w:val="decimal"/>
        <w:lvlText w:val="%1."/>
        <w:lvlJc w:val="left"/>
      </w:lvl>
    </w:lvlOverride>
  </w:num>
  <w:num w:numId="8" w16cid:durableId="818040597">
    <w:abstractNumId w:val="1"/>
  </w:num>
  <w:num w:numId="9" w16cid:durableId="1054427143">
    <w:abstractNumId w:val="0"/>
  </w:num>
  <w:num w:numId="10" w16cid:durableId="986085973">
    <w:abstractNumId w:val="9"/>
  </w:num>
  <w:num w:numId="11" w16cid:durableId="1723362524">
    <w:abstractNumId w:val="14"/>
  </w:num>
  <w:num w:numId="12" w16cid:durableId="1382361511">
    <w:abstractNumId w:val="5"/>
  </w:num>
  <w:num w:numId="13" w16cid:durableId="1452092976">
    <w:abstractNumId w:val="13"/>
  </w:num>
  <w:num w:numId="14" w16cid:durableId="1804690987">
    <w:abstractNumId w:val="10"/>
  </w:num>
  <w:num w:numId="15" w16cid:durableId="1773889634">
    <w:abstractNumId w:val="6"/>
  </w:num>
  <w:num w:numId="16" w16cid:durableId="482887868">
    <w:abstractNumId w:val="7"/>
  </w:num>
  <w:num w:numId="17" w16cid:durableId="672102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61"/>
    <w:rsid w:val="00101E16"/>
    <w:rsid w:val="003E400D"/>
    <w:rsid w:val="003F1371"/>
    <w:rsid w:val="00632330"/>
    <w:rsid w:val="00855464"/>
    <w:rsid w:val="00AB0DD2"/>
    <w:rsid w:val="00D20DE1"/>
    <w:rsid w:val="00DC5261"/>
    <w:rsid w:val="00EF0E4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4FCF"/>
  <w15:docId w15:val="{0BBD2D39-7C1E-5C4C-83A8-46003099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4B"/>
    <w:pPr>
      <w:spacing w:after="0" w:line="240" w:lineRule="auto"/>
    </w:pPr>
    <w:rPr>
      <w:rFonts w:ascii="Times New Roman" w:eastAsia="Times New Roman" w:hAnsi="Times New Roman" w:cs="Times New Roman"/>
      <w:sz w:val="24"/>
      <w:szCs w:val="24"/>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C6D13"/>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DC6D13"/>
    <w:rPr>
      <w:rFonts w:ascii="Segoe UI" w:hAnsi="Segoe UI" w:cs="Segoe UI"/>
      <w:sz w:val="18"/>
      <w:szCs w:val="18"/>
    </w:rPr>
  </w:style>
  <w:style w:type="character" w:styleId="Hyperlink">
    <w:name w:val="Hyperlink"/>
    <w:basedOn w:val="DefaultParagraphFont"/>
    <w:uiPriority w:val="99"/>
    <w:unhideWhenUsed/>
    <w:rsid w:val="00DC6D13"/>
    <w:rPr>
      <w:color w:val="0563C1" w:themeColor="hyperlink"/>
      <w:u w:val="single"/>
    </w:rPr>
  </w:style>
  <w:style w:type="character" w:styleId="CommentReference">
    <w:name w:val="annotation reference"/>
    <w:basedOn w:val="DefaultParagraphFont"/>
    <w:uiPriority w:val="99"/>
    <w:semiHidden/>
    <w:unhideWhenUsed/>
    <w:rsid w:val="0035567B"/>
    <w:rPr>
      <w:sz w:val="16"/>
      <w:szCs w:val="16"/>
    </w:rPr>
  </w:style>
  <w:style w:type="paragraph" w:styleId="CommentText">
    <w:name w:val="annotation text"/>
    <w:basedOn w:val="Normal"/>
    <w:link w:val="CommentTextChar"/>
    <w:uiPriority w:val="99"/>
    <w:semiHidden/>
    <w:unhideWhenUsed/>
    <w:rsid w:val="0035567B"/>
    <w:rPr>
      <w:sz w:val="20"/>
      <w:szCs w:val="20"/>
    </w:rPr>
  </w:style>
  <w:style w:type="character" w:customStyle="1" w:styleId="CommentTextChar">
    <w:name w:val="Comment Text Char"/>
    <w:basedOn w:val="DefaultParagraphFont"/>
    <w:link w:val="CommentText"/>
    <w:uiPriority w:val="99"/>
    <w:semiHidden/>
    <w:rsid w:val="0035567B"/>
    <w:rPr>
      <w:sz w:val="20"/>
      <w:szCs w:val="20"/>
      <w:lang w:val="id-ID"/>
    </w:rPr>
  </w:style>
  <w:style w:type="paragraph" w:styleId="CommentSubject">
    <w:name w:val="annotation subject"/>
    <w:basedOn w:val="CommentText"/>
    <w:next w:val="CommentText"/>
    <w:link w:val="CommentSubjectChar"/>
    <w:uiPriority w:val="99"/>
    <w:semiHidden/>
    <w:unhideWhenUsed/>
    <w:rsid w:val="0035567B"/>
    <w:rPr>
      <w:b/>
      <w:bCs/>
    </w:rPr>
  </w:style>
  <w:style w:type="character" w:customStyle="1" w:styleId="CommentSubjectChar">
    <w:name w:val="Comment Subject Char"/>
    <w:basedOn w:val="CommentTextChar"/>
    <w:link w:val="CommentSubject"/>
    <w:uiPriority w:val="99"/>
    <w:semiHidden/>
    <w:rsid w:val="0035567B"/>
    <w:rPr>
      <w:b/>
      <w:bCs/>
      <w:sz w:val="20"/>
      <w:szCs w:val="20"/>
      <w:lang w:val="id-ID"/>
    </w:rPr>
  </w:style>
  <w:style w:type="character" w:customStyle="1" w:styleId="kepalatabelChar">
    <w:name w:val="kepala tabel Char"/>
    <w:link w:val="kepalatabel"/>
    <w:locked/>
    <w:rsid w:val="002B5A8E"/>
    <w:rPr>
      <w:rFonts w:ascii="Centaur" w:eastAsia="Times New Roman" w:hAnsi="Centaur" w:cs="Times New Roman"/>
      <w:b/>
      <w:bCs/>
      <w:kern w:val="32"/>
      <w:sz w:val="20"/>
      <w:szCs w:val="32"/>
      <w:lang w:val="id-ID" w:eastAsia="id-ID"/>
    </w:rPr>
  </w:style>
  <w:style w:type="paragraph" w:customStyle="1" w:styleId="kepalatabel">
    <w:name w:val="kepala tabel"/>
    <w:link w:val="kepalatabelChar"/>
    <w:qFormat/>
    <w:rsid w:val="002B5A8E"/>
    <w:pPr>
      <w:spacing w:after="0" w:line="240" w:lineRule="auto"/>
      <w:jc w:val="center"/>
    </w:pPr>
    <w:rPr>
      <w:rFonts w:ascii="Centaur" w:eastAsia="Times New Roman" w:hAnsi="Centaur" w:cs="Times New Roman"/>
      <w:b/>
      <w:bCs/>
      <w:kern w:val="32"/>
      <w:sz w:val="20"/>
      <w:szCs w:val="32"/>
      <w:lang w:val="id-ID"/>
    </w:rPr>
  </w:style>
  <w:style w:type="character" w:customStyle="1" w:styleId="subkepalatabelChar">
    <w:name w:val="sub kepala tabel Char"/>
    <w:link w:val="subkepalatabel"/>
    <w:locked/>
    <w:rsid w:val="002B5A8E"/>
    <w:rPr>
      <w:rFonts w:ascii="Centaur" w:eastAsia="Times New Roman" w:hAnsi="Centaur" w:cs="Times New Roman"/>
      <w:b/>
      <w:bCs/>
      <w:kern w:val="32"/>
      <w:sz w:val="19"/>
      <w:szCs w:val="32"/>
      <w:lang w:val="id-ID" w:eastAsia="id-ID"/>
    </w:rPr>
  </w:style>
  <w:style w:type="paragraph" w:customStyle="1" w:styleId="subkepalatabel">
    <w:name w:val="sub kepala tabel"/>
    <w:link w:val="subkepalatabelChar"/>
    <w:qFormat/>
    <w:rsid w:val="002B5A8E"/>
    <w:pPr>
      <w:spacing w:after="0" w:line="240" w:lineRule="auto"/>
      <w:jc w:val="center"/>
    </w:pPr>
    <w:rPr>
      <w:rFonts w:ascii="Centaur" w:eastAsia="Times New Roman" w:hAnsi="Centaur" w:cs="Times New Roman"/>
      <w:b/>
      <w:bCs/>
      <w:kern w:val="32"/>
      <w:sz w:val="19"/>
      <w:szCs w:val="32"/>
      <w:lang w:val="id-ID"/>
    </w:rPr>
  </w:style>
  <w:style w:type="character" w:customStyle="1" w:styleId="datatabelChar">
    <w:name w:val="data tabel Char"/>
    <w:link w:val="datatabel"/>
    <w:locked/>
    <w:rsid w:val="002B5A8E"/>
    <w:rPr>
      <w:rFonts w:ascii="Centaur" w:eastAsia="Times New Roman" w:hAnsi="Centaur" w:cs="Times New Roman"/>
      <w:bCs/>
      <w:kern w:val="32"/>
      <w:sz w:val="18"/>
      <w:szCs w:val="32"/>
      <w:lang w:val="id-ID" w:eastAsia="id-ID"/>
    </w:rPr>
  </w:style>
  <w:style w:type="paragraph" w:customStyle="1" w:styleId="datatabel">
    <w:name w:val="data tabel"/>
    <w:link w:val="datatabelChar"/>
    <w:qFormat/>
    <w:rsid w:val="002B5A8E"/>
    <w:pPr>
      <w:spacing w:after="0" w:line="240" w:lineRule="auto"/>
      <w:jc w:val="center"/>
    </w:pPr>
    <w:rPr>
      <w:rFonts w:ascii="Centaur" w:eastAsia="Times New Roman" w:hAnsi="Centaur" w:cs="Times New Roman"/>
      <w:bCs/>
      <w:kern w:val="32"/>
      <w:sz w:val="18"/>
      <w:szCs w:val="32"/>
      <w:lang w:val="id-ID"/>
    </w:rPr>
  </w:style>
  <w:style w:type="character" w:styleId="UnresolvedMention">
    <w:name w:val="Unresolved Mention"/>
    <w:basedOn w:val="DefaultParagraphFont"/>
    <w:uiPriority w:val="99"/>
    <w:semiHidden/>
    <w:unhideWhenUsed/>
    <w:rsid w:val="009B2F6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F0E4B"/>
    <w:pPr>
      <w:spacing w:before="100" w:beforeAutospacing="1" w:after="100" w:afterAutospacing="1"/>
    </w:pPr>
  </w:style>
  <w:style w:type="numbering" w:customStyle="1" w:styleId="DaftarSaatini1">
    <w:name w:val="Daftar Saat ini1"/>
    <w:uiPriority w:val="99"/>
    <w:rsid w:val="00632330"/>
    <w:pPr>
      <w:numPr>
        <w:numId w:val="8"/>
      </w:numPr>
    </w:pPr>
  </w:style>
  <w:style w:type="numbering" w:customStyle="1" w:styleId="DaftarSaatini2">
    <w:name w:val="Daftar Saat ini2"/>
    <w:uiPriority w:val="99"/>
    <w:rsid w:val="00632330"/>
    <w:pPr>
      <w:numPr>
        <w:numId w:val="9"/>
      </w:numPr>
    </w:pPr>
  </w:style>
  <w:style w:type="numbering" w:customStyle="1" w:styleId="DaftarSaatini3">
    <w:name w:val="Daftar Saat ini3"/>
    <w:uiPriority w:val="99"/>
    <w:rsid w:val="00632330"/>
    <w:pPr>
      <w:numPr>
        <w:numId w:val="10"/>
      </w:numPr>
    </w:pPr>
  </w:style>
  <w:style w:type="numbering" w:customStyle="1" w:styleId="DaftarSaatini4">
    <w:name w:val="Daftar Saat ini4"/>
    <w:uiPriority w:val="99"/>
    <w:rsid w:val="00AB0DD2"/>
    <w:pPr>
      <w:numPr>
        <w:numId w:val="11"/>
      </w:numPr>
    </w:pPr>
  </w:style>
  <w:style w:type="numbering" w:customStyle="1" w:styleId="DaftarSaatini5">
    <w:name w:val="Daftar Saat ini5"/>
    <w:uiPriority w:val="99"/>
    <w:rsid w:val="00AB0DD2"/>
    <w:pPr>
      <w:numPr>
        <w:numId w:val="13"/>
      </w:numPr>
    </w:pPr>
  </w:style>
  <w:style w:type="numbering" w:customStyle="1" w:styleId="DaftarSaatini6">
    <w:name w:val="Daftar Saat ini6"/>
    <w:uiPriority w:val="99"/>
    <w:rsid w:val="00AB0DD2"/>
    <w:pPr>
      <w:numPr>
        <w:numId w:val="14"/>
      </w:numPr>
    </w:pPr>
  </w:style>
  <w:style w:type="numbering" w:customStyle="1" w:styleId="DaftarSaatini7">
    <w:name w:val="Daftar Saat ini7"/>
    <w:uiPriority w:val="99"/>
    <w:rsid w:val="00AB0DD2"/>
    <w:pPr>
      <w:numPr>
        <w:numId w:val="15"/>
      </w:numPr>
    </w:pPr>
  </w:style>
  <w:style w:type="numbering" w:customStyle="1" w:styleId="DaftarSaatini8">
    <w:name w:val="Daftar Saat ini8"/>
    <w:uiPriority w:val="99"/>
    <w:rsid w:val="00AB0DD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8780">
      <w:bodyDiv w:val="1"/>
      <w:marLeft w:val="0"/>
      <w:marRight w:val="0"/>
      <w:marTop w:val="0"/>
      <w:marBottom w:val="0"/>
      <w:divBdr>
        <w:top w:val="none" w:sz="0" w:space="0" w:color="auto"/>
        <w:left w:val="none" w:sz="0" w:space="0" w:color="auto"/>
        <w:bottom w:val="none" w:sz="0" w:space="0" w:color="auto"/>
        <w:right w:val="none" w:sz="0" w:space="0" w:color="auto"/>
      </w:divBdr>
    </w:div>
    <w:div w:id="512452951">
      <w:bodyDiv w:val="1"/>
      <w:marLeft w:val="0"/>
      <w:marRight w:val="0"/>
      <w:marTop w:val="0"/>
      <w:marBottom w:val="0"/>
      <w:divBdr>
        <w:top w:val="none" w:sz="0" w:space="0" w:color="auto"/>
        <w:left w:val="none" w:sz="0" w:space="0" w:color="auto"/>
        <w:bottom w:val="none" w:sz="0" w:space="0" w:color="auto"/>
        <w:right w:val="none" w:sz="0" w:space="0" w:color="auto"/>
      </w:divBdr>
    </w:div>
    <w:div w:id="534734811">
      <w:bodyDiv w:val="1"/>
      <w:marLeft w:val="0"/>
      <w:marRight w:val="0"/>
      <w:marTop w:val="0"/>
      <w:marBottom w:val="0"/>
      <w:divBdr>
        <w:top w:val="none" w:sz="0" w:space="0" w:color="auto"/>
        <w:left w:val="none" w:sz="0" w:space="0" w:color="auto"/>
        <w:bottom w:val="none" w:sz="0" w:space="0" w:color="auto"/>
        <w:right w:val="none" w:sz="0" w:space="0" w:color="auto"/>
      </w:divBdr>
    </w:div>
    <w:div w:id="858205916">
      <w:bodyDiv w:val="1"/>
      <w:marLeft w:val="0"/>
      <w:marRight w:val="0"/>
      <w:marTop w:val="0"/>
      <w:marBottom w:val="0"/>
      <w:divBdr>
        <w:top w:val="none" w:sz="0" w:space="0" w:color="auto"/>
        <w:left w:val="none" w:sz="0" w:space="0" w:color="auto"/>
        <w:bottom w:val="none" w:sz="0" w:space="0" w:color="auto"/>
        <w:right w:val="none" w:sz="0" w:space="0" w:color="auto"/>
      </w:divBdr>
    </w:div>
    <w:div w:id="1143548622">
      <w:bodyDiv w:val="1"/>
      <w:marLeft w:val="0"/>
      <w:marRight w:val="0"/>
      <w:marTop w:val="0"/>
      <w:marBottom w:val="0"/>
      <w:divBdr>
        <w:top w:val="none" w:sz="0" w:space="0" w:color="auto"/>
        <w:left w:val="none" w:sz="0" w:space="0" w:color="auto"/>
        <w:bottom w:val="none" w:sz="0" w:space="0" w:color="auto"/>
        <w:right w:val="none" w:sz="0" w:space="0" w:color="auto"/>
      </w:divBdr>
    </w:div>
    <w:div w:id="1268855490">
      <w:bodyDiv w:val="1"/>
      <w:marLeft w:val="0"/>
      <w:marRight w:val="0"/>
      <w:marTop w:val="0"/>
      <w:marBottom w:val="0"/>
      <w:divBdr>
        <w:top w:val="none" w:sz="0" w:space="0" w:color="auto"/>
        <w:left w:val="none" w:sz="0" w:space="0" w:color="auto"/>
        <w:bottom w:val="none" w:sz="0" w:space="0" w:color="auto"/>
        <w:right w:val="none" w:sz="0" w:space="0" w:color="auto"/>
      </w:divBdr>
    </w:div>
    <w:div w:id="1344436694">
      <w:bodyDiv w:val="1"/>
      <w:marLeft w:val="0"/>
      <w:marRight w:val="0"/>
      <w:marTop w:val="0"/>
      <w:marBottom w:val="0"/>
      <w:divBdr>
        <w:top w:val="none" w:sz="0" w:space="0" w:color="auto"/>
        <w:left w:val="none" w:sz="0" w:space="0" w:color="auto"/>
        <w:bottom w:val="none" w:sz="0" w:space="0" w:color="auto"/>
        <w:right w:val="none" w:sz="0" w:space="0" w:color="auto"/>
      </w:divBdr>
    </w:div>
    <w:div w:id="1468619355">
      <w:bodyDiv w:val="1"/>
      <w:marLeft w:val="0"/>
      <w:marRight w:val="0"/>
      <w:marTop w:val="0"/>
      <w:marBottom w:val="0"/>
      <w:divBdr>
        <w:top w:val="none" w:sz="0" w:space="0" w:color="auto"/>
        <w:left w:val="none" w:sz="0" w:space="0" w:color="auto"/>
        <w:bottom w:val="none" w:sz="0" w:space="0" w:color="auto"/>
        <w:right w:val="none" w:sz="0" w:space="0" w:color="auto"/>
      </w:divBdr>
    </w:div>
    <w:div w:id="1490295035">
      <w:bodyDiv w:val="1"/>
      <w:marLeft w:val="0"/>
      <w:marRight w:val="0"/>
      <w:marTop w:val="0"/>
      <w:marBottom w:val="0"/>
      <w:divBdr>
        <w:top w:val="none" w:sz="0" w:space="0" w:color="auto"/>
        <w:left w:val="none" w:sz="0" w:space="0" w:color="auto"/>
        <w:bottom w:val="none" w:sz="0" w:space="0" w:color="auto"/>
        <w:right w:val="none" w:sz="0" w:space="0" w:color="auto"/>
      </w:divBdr>
    </w:div>
    <w:div w:id="1933125376">
      <w:bodyDiv w:val="1"/>
      <w:marLeft w:val="0"/>
      <w:marRight w:val="0"/>
      <w:marTop w:val="0"/>
      <w:marBottom w:val="0"/>
      <w:divBdr>
        <w:top w:val="none" w:sz="0" w:space="0" w:color="auto"/>
        <w:left w:val="none" w:sz="0" w:space="0" w:color="auto"/>
        <w:bottom w:val="none" w:sz="0" w:space="0" w:color="auto"/>
        <w:right w:val="none" w:sz="0" w:space="0" w:color="auto"/>
      </w:divBdr>
    </w:div>
    <w:div w:id="2094543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urnalkhuluq@gmail.com" TargetMode="External"/><Relationship Id="rId13" Type="http://schemas.openxmlformats.org/officeDocument/2006/relationships/hyperlink" Target="mailto:heri.surikno@med.unand.ac.id"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salsabila191106@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1933/unesrev.v5i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isyazhahira13@gmail.com" TargetMode="External"/><Relationship Id="rId5" Type="http://schemas.openxmlformats.org/officeDocument/2006/relationships/settings" Target="settings.xml"/><Relationship Id="rId15" Type="http://schemas.openxmlformats.org/officeDocument/2006/relationships/hyperlink" Target="https://jicnusantara.com/index.php/jiic" TargetMode="Externa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yperlink" Target="https://jurnal.nurulyaqinannaba.or.id/index.php/khuluq" TargetMode="External"/><Relationship Id="rId14" Type="http://schemas.openxmlformats.org/officeDocument/2006/relationships/hyperlink" Target="https://doi.org/10.29406/jmm.v15i2.1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0EEBF0-273B-2B49-B429-779884E9A67B}">
  <we:reference id="f78a3046-9e99-4300-aa2b-5814002b01a2" version="1.55.1.0" store="EXCatalog" storeType="EXCatalog"/>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NuXP+JA/0msQLrd+pBMsi+IxA==">CgMxLjA4AHIhMS1uWHJ0UmRwdUsxNm15Y3BNUXgxbHh6TENrLUsxR0pn</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2CBE9F-0842-BC4F-928E-FD61CD72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3187</Words>
  <Characters>18169</Characters>
  <Application>Microsoft Office Word</Application>
  <DocSecurity>0</DocSecurity>
  <Lines>151</Lines>
  <Paragraphs>42</Paragraphs>
  <ScaleCrop>false</ScaleCrop>
  <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Fauziah</dc:creator>
  <cp:lastModifiedBy>irma sulistia</cp:lastModifiedBy>
  <cp:revision>4</cp:revision>
  <dcterms:created xsi:type="dcterms:W3CDTF">2025-04-24T07:10:00Z</dcterms:created>
  <dcterms:modified xsi:type="dcterms:W3CDTF">2025-12-09T18:24:00Z</dcterms:modified>
</cp:coreProperties>
</file>